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media/image1.png" ContentType="image/png"/>
  <Override PartName="/word/media/image2.png" ContentType="image/png"/>
  <Override PartName="/word/media/image3.png" ContentType="image/png"/>
  <Override PartName="/word/media/image4.png" ContentType="image/png"/>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header3.xml.rels" ContentType="application/vnd.openxmlformats-package.relationships+xml"/>
  <Override PartName="/word/_rels/document.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200" w:after="200"/>
        <w:jc w:val="center"/>
        <w:rPr>
          <w:rFonts w:ascii="Arial" w:hAnsi="Arial" w:cs="Arial"/>
          <w:b/>
          <w:caps/>
        </w:rPr>
      </w:pPr>
      <w:bookmarkStart w:id="0" w:name="_Hlk137216720"/>
      <w:bookmarkEnd w:id="0"/>
      <w:r>
        <w:rPr>
          <w:rFonts w:cs="Arial" w:ascii="Arial" w:hAnsi="Arial"/>
          <w:b/>
          <w:caps/>
        </w:rPr>
        <w:t>SĄNAUDŲ KIEKIŲ ŽINIARAŠTIS</w:t>
      </w:r>
      <w:r>
        <w:br w:type="page"/>
      </w:r>
    </w:p>
    <w:tbl>
      <w:tblPr>
        <w:tblW w:w="10490" w:type="dxa"/>
        <w:jc w:val="left"/>
        <w:tblInd w:w="-289" w:type="dxa"/>
        <w:tblLayout w:type="fixed"/>
        <w:tblCellMar>
          <w:top w:w="0" w:type="dxa"/>
          <w:left w:w="108" w:type="dxa"/>
          <w:bottom w:w="0" w:type="dxa"/>
          <w:right w:w="108" w:type="dxa"/>
        </w:tblCellMar>
      </w:tblPr>
      <w:tblGrid>
        <w:gridCol w:w="867"/>
        <w:gridCol w:w="5201"/>
        <w:gridCol w:w="1018"/>
        <w:gridCol w:w="712"/>
        <w:gridCol w:w="1222"/>
        <w:gridCol w:w="1470"/>
      </w:tblGrid>
      <w:tr>
        <w:trPr>
          <w:trHeight w:val="52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pageBreakBefore/>
              <w:widowControl w:val="false"/>
              <w:spacing w:lineRule="auto" w:line="240" w:before="0" w:after="0"/>
              <w:jc w:val="center"/>
              <w:rPr>
                <w:color w:val="auto"/>
              </w:rPr>
            </w:pPr>
            <w:r>
              <w:rPr>
                <w:rFonts w:cs="Arial" w:ascii="Arial" w:hAnsi="Arial"/>
                <w:b/>
                <w:bCs/>
                <w:color w:val="auto"/>
                <w:sz w:val="20"/>
                <w:szCs w:val="20"/>
                <w:lang w:eastAsia="lt-LT"/>
              </w:rPr>
              <w:t>Eil. Nr.</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Pavadinimas ir techninės charakteristikos</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Žymuo</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Mato 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Kiekis</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lang w:eastAsia="lt-LT"/>
              </w:rPr>
              <w:t>Pastabos/</w:t>
            </w:r>
          </w:p>
          <w:p>
            <w:pPr>
              <w:pStyle w:val="Normal"/>
              <w:widowControl w:val="false"/>
              <w:spacing w:lineRule="auto" w:line="240" w:before="0" w:after="0"/>
              <w:jc w:val="center"/>
              <w:rPr>
                <w:color w:val="auto"/>
              </w:rPr>
            </w:pPr>
            <w:r>
              <w:rPr>
                <w:rFonts w:cs="Arial" w:ascii="Arial" w:hAnsi="Arial"/>
                <w:b/>
                <w:bCs/>
                <w:color w:val="auto"/>
                <w:sz w:val="20"/>
                <w:szCs w:val="20"/>
                <w:lang w:eastAsia="lt-LT"/>
              </w:rPr>
              <w:t>Nuorodos į TS</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Ardymo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Bordiūrų (šaligatvio, kelio bortų) ardymas</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AB-01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m</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3739,90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Asfalto dangos ardymas su pagrindais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AA-01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19 612,30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Betoninių plytelių ardymas (šaligatviai, rytinė tribūna (1c1m) su pagrindais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AB-01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6562,10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Ardoma žvyro takų danga su pagrindais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AŽ-01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153,10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pastatomi parkiniai suolai su pamatais (gražinami sąvininkui)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AS1-00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kelio ženkai su pamatais(grąžinami savininkui)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AKŽ-00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30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Išmontuojamos esamos vandens stotelės su pamatais(grąžinamos sąvininkui)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AVS-00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Šalinami medžiai su kelmais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ŠM-00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parkiniai šviestuvai su pamatais (grąžinami savininkui)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AŠ-00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vėliavų stulpai su pamatais (grąžinami savininkui)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AV-00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metaliniai stulpeliai su pamatais (grąžinami savininkui)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AS-00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Išmontuojami esami dviračių stovai su pamatais (grąžinami savininkui)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AD-00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Išmontuojamo šiukšliadėžės su pamataisd (grąžinamos savininkiu)</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AK-00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lang w:eastAsia="lt-LT"/>
              </w:rPr>
              <w:t>Skulptūrų perkėlimas. Statybos darbų metu saugomos, vėliau grąžinamos į nurodytą vietą</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SS-00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2.1.</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2</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i w:val="false"/>
                <w:strike w:val="false"/>
                <w:dstrike w:val="false"/>
                <w:color w:val="000000"/>
                <w:sz w:val="20"/>
                <w:szCs w:val="20"/>
                <w:u w:val="none"/>
                <w:shd w:fill="auto" w:val="clear"/>
              </w:rPr>
              <w:t>Žemės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Statybos darbų atliekų išvežimas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s="Arial"/>
                <w:color w:val="auto"/>
                <w:sz w:val="20"/>
                <w:szCs w:val="20"/>
                <w:shd w:fill="auto" w:val="clear"/>
              </w:rPr>
            </w:pPr>
            <w:r>
              <w:rPr>
                <w:rFonts w:cs="Arial" w:ascii="Arial" w:hAnsi="Arial"/>
                <w:color w:val="000000"/>
                <w:sz w:val="20"/>
                <w:szCs w:val="20"/>
                <w:shd w:fill="auto" w:val="clear"/>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bCs/>
                <w:color w:val="000000"/>
                <w:sz w:val="20"/>
                <w:szCs w:val="20"/>
                <w:shd w:fill="auto" w:val="clear"/>
              </w:rPr>
              <w:t>3640*</w:t>
            </w:r>
            <w:r>
              <w:rPr>
                <w:rFonts w:cs="Arial" w:ascii="Arial" w:hAnsi="Arial"/>
                <w:color w:val="000000"/>
                <w:sz w:val="20"/>
                <w:szCs w:val="20"/>
                <w:shd w:fill="auto" w:val="clear"/>
              </w:rPr>
              <w:t xml:space="preserve"> (atliekos išvežamos ~10 km)</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Šlaito formavimas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NG-01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4770,00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000000"/>
                <w:sz w:val="20"/>
                <w:szCs w:val="20"/>
                <w:shd w:fill="auto" w:val="clear"/>
              </w:rPr>
              <w:t>Dekoratyviniai želdiniai:</w:t>
            </w:r>
          </w:p>
          <w:p>
            <w:pPr>
              <w:pStyle w:val="Normal"/>
              <w:widowControl w:val="false"/>
              <w:spacing w:lineRule="auto" w:line="240" w:before="0" w:after="0"/>
              <w:rPr>
                <w:rFonts w:ascii="Arial" w:hAnsi="Arial" w:cs="Arial"/>
                <w:color w:val="auto"/>
                <w:sz w:val="20"/>
                <w:szCs w:val="20"/>
                <w:shd w:fill="auto" w:val="clear"/>
              </w:rPr>
            </w:pPr>
            <w:r>
              <w:rPr>
                <w:rFonts w:cs="Arial" w:ascii="Arial" w:hAnsi="Arial"/>
                <w:color w:val="000000"/>
                <w:sz w:val="20"/>
                <w:szCs w:val="20"/>
                <w:shd w:fill="auto" w:val="clear"/>
              </w:rPr>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DŽ-01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2010,00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18"/>
                <w:szCs w:val="18"/>
              </w:rPr>
              <w:t>5.</w:t>
            </w:r>
          </w:p>
          <w:p>
            <w:pPr>
              <w:pStyle w:val="Normal"/>
              <w:widowControl w:val="false"/>
              <w:spacing w:lineRule="auto" w:line="240" w:before="0" w:after="0"/>
              <w:jc w:val="center"/>
              <w:rPr>
                <w:color w:val="auto"/>
              </w:rPr>
            </w:pPr>
            <w:r>
              <w:rPr>
                <w:rFonts w:cs="Arial" w:ascii="Arial" w:hAnsi="Arial"/>
                <w:b w:val="false"/>
                <w:bCs w:val="false"/>
                <w:color w:val="auto"/>
                <w:sz w:val="18"/>
                <w:szCs w:val="18"/>
              </w:rPr>
              <w:t>Daugiamečiai žoliniai augalai, gėlės, krūmai.</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Veja:</w:t>
            </w:r>
          </w:p>
          <w:p>
            <w:pPr>
              <w:pStyle w:val="Normal"/>
              <w:widowControl w:val="false"/>
              <w:spacing w:lineRule="auto" w:line="240" w:before="0" w:after="0"/>
              <w:rPr>
                <w:color w:val="auto"/>
              </w:rPr>
            </w:pPr>
            <w:r>
              <w:rPr>
                <w:rFonts w:cs="Arial" w:ascii="Arial" w:hAnsi="Arial"/>
                <w:color w:val="000000"/>
                <w:sz w:val="20"/>
                <w:szCs w:val="20"/>
                <w:shd w:fill="auto" w:val="clear"/>
              </w:rPr>
              <w:t>DŽ-02A</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atsėjimui (50% raudonųjų</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ilgašakniastiebinių eraičinų 30% daugiamečių svidrių (Quick Action), 15% vienmečių vejinių svidrių, 5% pievinių miglių) (~ 68 kg, 3 kg/a);</w:t>
            </w:r>
          </w:p>
          <w:p>
            <w:pPr>
              <w:pStyle w:val="Normal"/>
              <w:widowControl w:val="false"/>
              <w:spacing w:lineRule="auto" w:line="240" w:before="0" w:after="0"/>
              <w:rPr>
                <w:color w:val="auto"/>
              </w:rPr>
            </w:pPr>
            <w:r>
              <w:rPr>
                <w:rFonts w:cs="Arial" w:ascii="Arial" w:hAnsi="Arial"/>
                <w:color w:val="000000"/>
                <w:sz w:val="20"/>
                <w:szCs w:val="20"/>
                <w:shd w:fill="auto" w:val="clear"/>
              </w:rPr>
              <w:t>DŽ-02B</w:t>
            </w:r>
          </w:p>
          <w:p>
            <w:pPr>
              <w:pStyle w:val="Normal"/>
              <w:widowControl w:val="false"/>
              <w:spacing w:lineRule="auto" w:line="240" w:before="0" w:after="0"/>
              <w:rPr>
                <w:color w:val="auto"/>
              </w:rPr>
            </w:pPr>
            <w:r>
              <w:rPr>
                <w:rFonts w:cs="Arial" w:ascii="Arial" w:hAnsi="Arial"/>
                <w:color w:val="000000"/>
                <w:sz w:val="20"/>
                <w:szCs w:val="20"/>
                <w:shd w:fill="auto" w:val="clear"/>
              </w:rPr>
              <w:t>Vejos sėklų mišinys rekonstrukcijai (25% daugiametės</w:t>
            </w:r>
          </w:p>
          <w:p>
            <w:pPr>
              <w:pStyle w:val="Normal"/>
              <w:widowControl w:val="false"/>
              <w:spacing w:lineRule="auto" w:line="240" w:before="0" w:after="0"/>
              <w:rPr>
                <w:color w:val="auto"/>
              </w:rPr>
            </w:pPr>
            <w:r>
              <w:rPr>
                <w:rFonts w:cs="Arial" w:ascii="Arial" w:hAnsi="Arial"/>
                <w:color w:val="000000"/>
                <w:sz w:val="20"/>
                <w:szCs w:val="20"/>
                <w:shd w:fill="auto" w:val="clear"/>
              </w:rPr>
              <w:t>svidrės, 30% eraičinsvidrės, 40% raudonieji</w:t>
            </w:r>
          </w:p>
          <w:p>
            <w:pPr>
              <w:pStyle w:val="Normal"/>
              <w:widowControl w:val="false"/>
              <w:spacing w:lineRule="auto" w:line="240" w:before="0" w:after="0"/>
              <w:rPr>
                <w:color w:val="auto"/>
              </w:rPr>
            </w:pPr>
            <w:r>
              <w:rPr>
                <w:rFonts w:cs="Arial" w:ascii="Arial" w:hAnsi="Arial"/>
                <w:color w:val="000000"/>
                <w:sz w:val="20"/>
                <w:szCs w:val="20"/>
                <w:shd w:fill="auto" w:val="clear"/>
              </w:rPr>
              <w:t>ilgašakniastiebiai eraičinai, 5% pievinės miglės) (~175 kg, 3 kg/a).</w:t>
            </w:r>
          </w:p>
          <w:p>
            <w:pPr>
              <w:pStyle w:val="Normal"/>
              <w:widowControl w:val="false"/>
              <w:spacing w:lineRule="auto" w:line="240" w:before="0" w:after="0"/>
              <w:rPr>
                <w:color w:val="auto"/>
              </w:rPr>
            </w:pPr>
            <w:r>
              <w:rPr>
                <w:rFonts w:cs="Arial" w:ascii="Arial" w:hAnsi="Arial"/>
                <w:i/>
                <w:iCs/>
                <w:color w:val="000000"/>
                <w:sz w:val="20"/>
                <w:szCs w:val="20"/>
                <w:shd w:fill="auto" w:val="clear"/>
              </w:rPr>
              <w:t>Pastaba: Vejos įrengimui reikalingas grunto papildymas</w:t>
            </w:r>
            <w:r>
              <w:rPr>
                <w:rFonts w:cs="Arial" w:ascii="Arial" w:hAnsi="Arial"/>
                <w:b w:val="false"/>
                <w:bCs w:val="false"/>
                <w:i/>
                <w:iCs/>
                <w:color w:val="000000"/>
                <w:sz w:val="18"/>
                <w:szCs w:val="18"/>
                <w:shd w:fill="auto" w:val="clear"/>
              </w:rPr>
              <w:t xml:space="preserve"> (Žr. TS 5 Želdynai) ~20 cm/m</w:t>
            </w:r>
            <w:r>
              <w:rPr>
                <w:rFonts w:cs="Arial" w:ascii="Arial" w:hAnsi="Arial"/>
                <w:b w:val="false"/>
                <w:bCs w:val="false"/>
                <w:i/>
                <w:iCs/>
                <w:color w:val="000000"/>
                <w:sz w:val="18"/>
                <w:szCs w:val="18"/>
                <w:shd w:fill="auto" w:val="clear"/>
                <w:vertAlign w:val="superscript"/>
              </w:rPr>
              <w:t xml:space="preserve">2 </w:t>
            </w:r>
            <w:r>
              <w:rPr>
                <w:rFonts w:cs="Arial" w:ascii="Arial" w:hAnsi="Arial"/>
                <w:b w:val="false"/>
                <w:bCs w:val="false"/>
                <w:i/>
                <w:iCs/>
                <w:color w:val="000000"/>
                <w:position w:val="0"/>
                <w:sz w:val="18"/>
                <w:sz w:val="18"/>
                <w:szCs w:val="18"/>
                <w:shd w:fill="auto" w:val="clear"/>
                <w:vertAlign w:val="baseline"/>
              </w:rPr>
              <w:t>(viso skaičiuojama ~ 2290 m</w:t>
            </w:r>
            <w:r>
              <w:rPr>
                <w:rFonts w:cs="Arial" w:ascii="Arial" w:hAnsi="Arial"/>
                <w:b w:val="false"/>
                <w:bCs w:val="false"/>
                <w:i/>
                <w:iCs/>
                <w:color w:val="000000"/>
                <w:sz w:val="18"/>
                <w:szCs w:val="18"/>
                <w:shd w:fill="auto" w:val="clear"/>
                <w:vertAlign w:val="superscript"/>
              </w:rPr>
              <w:t>3</w:t>
            </w:r>
            <w:r>
              <w:rPr>
                <w:rFonts w:cs="Arial" w:ascii="Arial" w:hAnsi="Arial"/>
                <w:b w:val="false"/>
                <w:bCs w:val="false"/>
                <w:i/>
                <w:iCs/>
                <w:color w:val="000000"/>
                <w:position w:val="0"/>
                <w:sz w:val="18"/>
                <w:sz w:val="18"/>
                <w:szCs w:val="18"/>
                <w:shd w:fill="auto" w:val="clear"/>
                <w:vertAlign w:val="baseline"/>
              </w:rPr>
              <w:t>)</w:t>
            </w:r>
          </w:p>
          <w:p>
            <w:pPr>
              <w:pStyle w:val="Normal"/>
              <w:widowControl w:val="false"/>
              <w:spacing w:lineRule="auto" w:line="240" w:before="0" w:after="0"/>
              <w:rPr>
                <w:color w:val="auto"/>
              </w:rPr>
            </w:pPr>
            <w:r>
              <w:rPr>
                <w:color w:val="auto"/>
              </w:rPr>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8100,00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Ruloninė veja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DŽ-03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1890,00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8"/>
                <w:szCs w:val="18"/>
              </w:rPr>
              <w:t>3.2.</w:t>
            </w:r>
          </w:p>
          <w:p>
            <w:pPr>
              <w:pStyle w:val="Normal"/>
              <w:widowControl w:val="false"/>
              <w:spacing w:lineRule="auto" w:line="240" w:before="0" w:after="0"/>
              <w:jc w:val="center"/>
              <w:rPr>
                <w:color w:val="auto"/>
              </w:rPr>
            </w:pPr>
            <w:r>
              <w:rPr>
                <w:rFonts w:cs="Arial" w:ascii="Arial" w:hAnsi="Arial"/>
                <w:color w:val="auto"/>
                <w:sz w:val="18"/>
                <w:szCs w:val="18"/>
              </w:rPr>
              <w:t>Žiūrovinės dalies šlaite</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Priešerozinis paklotas šlaitų tvirtinimui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7000,00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16"/>
                <w:szCs w:val="16"/>
              </w:rPr>
              <w:t>3.2., 5.</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Naujai sodinami medžiai</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000000"/>
                <w:sz w:val="20"/>
                <w:szCs w:val="20"/>
                <w:shd w:fill="auto" w:val="clear"/>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52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18"/>
                <w:szCs w:val="18"/>
                <w:shd w:fill="auto" w:val="clear"/>
              </w:rPr>
              <w:t>5.</w:t>
            </w:r>
          </w:p>
          <w:p>
            <w:pPr>
              <w:pStyle w:val="Normal"/>
              <w:widowControl w:val="false"/>
              <w:spacing w:lineRule="auto" w:line="240" w:before="0" w:after="0"/>
              <w:jc w:val="center"/>
              <w:rPr>
                <w:color w:val="auto"/>
              </w:rPr>
            </w:pPr>
            <w:r>
              <w:rPr>
                <w:rFonts w:cs="Arial" w:ascii="Arial" w:hAnsi="Arial"/>
                <w:b w:val="false"/>
                <w:bCs w:val="false"/>
                <w:i/>
                <w:iCs/>
                <w:color w:val="000000"/>
                <w:sz w:val="18"/>
                <w:szCs w:val="18"/>
                <w:shd w:fill="auto" w:val="clear"/>
              </w:rPr>
              <w:t>Detalizaciją  žr. Priede Nr. 1</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000000"/>
                <w:sz w:val="20"/>
                <w:szCs w:val="20"/>
                <w:shd w:fill="auto" w:val="clear"/>
              </w:rPr>
              <w:t>3.1.</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000000"/>
                <w:sz w:val="20"/>
                <w:szCs w:val="20"/>
                <w:shd w:fill="auto" w:val="clear"/>
              </w:rPr>
              <w:t>Įrengimo darbai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color w:val="auto"/>
                <w:sz w:val="20"/>
                <w:szCs w:val="20"/>
                <w:highlight w:val="none"/>
                <w:shd w:fill="auto" w:val="clear"/>
              </w:rPr>
            </w:pPr>
            <w:r>
              <w:rPr>
                <w:rFonts w:cs="Arial" w:ascii="Arial" w:hAnsi="Arial"/>
                <w:color w:val="000000"/>
                <w:sz w:val="20"/>
                <w:szCs w:val="20"/>
                <w:shd w:fill="auto" w:val="clear"/>
              </w:rPr>
            </w:r>
          </w:p>
        </w:tc>
      </w:tr>
      <w:tr>
        <w:trPr>
          <w:trHeight w:val="17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1885,00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2170,00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kelio bortas (apvalintas)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BG-03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745,00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gatvės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BGR-09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20,00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6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Granitinis vejos bortas (lenktas)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BGR-14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3.1.18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vejos bortas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BM-01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3.5.6.</w:t>
            </w:r>
          </w:p>
        </w:tc>
      </w:tr>
      <w:tr>
        <w:trPr>
          <w:trHeight w:val="1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3.1.19</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d-80mm (100x100 mm)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9111,00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000000"/>
                <w:sz w:val="20"/>
                <w:szCs w:val="20"/>
                <w:shd w:fill="auto" w:val="clear"/>
              </w:rPr>
              <w:t>3.1.20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Betoninių trinkelių danga (ažūrinė) d-80mm (200x70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DB-2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1990,00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3.5.1.</w:t>
            </w:r>
          </w:p>
          <w:p>
            <w:pPr>
              <w:pStyle w:val="Normal"/>
              <w:widowControl w:val="false"/>
              <w:spacing w:before="0" w:after="0"/>
              <w:jc w:val="center"/>
              <w:rPr>
                <w:color w:val="auto"/>
              </w:rPr>
            </w:pPr>
            <w:r>
              <w:rPr>
                <w:rFonts w:cs="Arial" w:ascii="Arial" w:hAnsi="Arial"/>
                <w:color w:val="auto"/>
                <w:sz w:val="20"/>
                <w:szCs w:val="20"/>
              </w:rPr>
              <w:t>3.6.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plytelių danga, d-80 mm (200x100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2148,20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35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d-60 mm (1000x1000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1109,00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- 60 (500x500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666,00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3.1.24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000000"/>
                <w:sz w:val="20"/>
                <w:szCs w:val="20"/>
                <w:shd w:fill="auto" w:val="clear"/>
              </w:rPr>
              <w:t>Granitinių plokščių danga, d - 50  (500x500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DG-04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351,00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Granitinių plokščių danga, d- 130 mm (500x300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DG-05.1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2247,00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p>
            <w:pPr>
              <w:pStyle w:val="Normal"/>
              <w:widowControl w:val="false"/>
              <w:spacing w:before="0" w:after="0"/>
              <w:jc w:val="center"/>
              <w:rPr>
                <w:color w:val="auto"/>
              </w:rPr>
            </w:pPr>
            <w:r>
              <w:rPr>
                <w:rFonts w:cs="Arial" w:ascii="Arial" w:hAnsi="Arial"/>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Granitinių plokščių danga, d- 60 mm (500x260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DG-05.2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p>
            <w:pPr>
              <w:pStyle w:val="Normal"/>
              <w:widowControl w:val="false"/>
              <w:spacing w:lineRule="auto" w:line="240" w:before="0" w:after="0"/>
              <w:jc w:val="center"/>
              <w:rPr>
                <w:color w:val="auto"/>
              </w:rPr>
            </w:pPr>
            <w:r>
              <w:rPr>
                <w:rFonts w:ascii="Arial" w:hAnsi="Arial"/>
                <w:b w:val="false"/>
                <w:bCs w:val="false"/>
                <w:color w:val="auto"/>
                <w:sz w:val="20"/>
                <w:szCs w:val="20"/>
              </w:rPr>
              <w:t>1348,00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color w:val="auto"/>
              </w:rPr>
            </w:pPr>
            <w:r>
              <w:rPr>
                <w:rFonts w:cs="Arial" w:ascii="Arial" w:hAnsi="Arial"/>
                <w:color w:val="auto"/>
                <w:sz w:val="20"/>
                <w:szCs w:val="20"/>
              </w:rPr>
              <w:t>3.6.</w:t>
            </w:r>
          </w:p>
          <w:p>
            <w:pPr>
              <w:pStyle w:val="Normal"/>
              <w:widowControl w:val="false"/>
              <w:spacing w:before="0" w:after="0"/>
              <w:jc w:val="center"/>
              <w:rPr>
                <w:color w:val="auto"/>
              </w:rPr>
            </w:pPr>
            <w:r>
              <w:rPr>
                <w:rFonts w:cs="Arial" w:ascii="Arial" w:hAnsi="Arial"/>
                <w:color w:val="auto"/>
                <w:sz w:val="20"/>
                <w:szCs w:val="20"/>
              </w:rPr>
              <w:t>Rytinė estrada</w:t>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Granitinių plokščių danga, d- 60 mm (500x245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DG-05.3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111,00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color w:val="auto"/>
              </w:rPr>
            </w:r>
          </w:p>
        </w:tc>
      </w:tr>
      <w:tr>
        <w:trPr>
          <w:trHeight w:val="23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Asfalto danga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DA-01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1307,00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3.5.3.</w:t>
            </w:r>
          </w:p>
          <w:p>
            <w:pPr>
              <w:pStyle w:val="Normal"/>
              <w:widowControl w:val="false"/>
              <w:spacing w:before="0" w:after="0"/>
              <w:jc w:val="center"/>
              <w:rPr>
                <w:color w:val="auto"/>
              </w:rPr>
            </w:pPr>
            <w:r>
              <w:rPr>
                <w:rFonts w:cs="Arial" w:ascii="Arial" w:hAnsi="Arial"/>
                <w:color w:val="auto"/>
                <w:sz w:val="20"/>
                <w:szCs w:val="20"/>
              </w:rPr>
              <w:t>3.6.</w:t>
            </w:r>
          </w:p>
        </w:tc>
      </w:tr>
      <w:tr>
        <w:trPr>
          <w:trHeight w:val="138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3.1.29.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 xml:space="preserve">Dirbtinė žaidimų aikštelės danga (10 mm </w:t>
            </w:r>
            <w:r>
              <w:rPr>
                <w:rFonts w:ascii="Arial" w:hAnsi="Arial"/>
                <w:b w:val="false"/>
                <w:i w:val="false"/>
                <w:caps w:val="false"/>
                <w:smallCaps w:val="false"/>
                <w:color w:val="auto"/>
                <w:spacing w:val="0"/>
                <w:sz w:val="20"/>
                <w:szCs w:val="20"/>
              </w:rPr>
              <w:t>viršutinis sluoksnis iš spalvotų EPDM gumos granulių, 90 mm  apatinis sluoksnis iš juodų sbr gumos granulių</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DV-01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1100,00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3.5.5.</w:t>
            </w:r>
          </w:p>
          <w:p>
            <w:pPr>
              <w:pStyle w:val="Normal"/>
              <w:widowControl w:val="false"/>
              <w:spacing w:before="0" w:after="0"/>
              <w:jc w:val="center"/>
              <w:rPr>
                <w:color w:val="auto"/>
              </w:rPr>
            </w:pPr>
            <w:r>
              <w:rPr>
                <w:rFonts w:cs="Arial" w:ascii="Arial" w:hAnsi="Arial"/>
                <w:color w:val="auto"/>
                <w:sz w:val="20"/>
                <w:szCs w:val="20"/>
              </w:rPr>
              <w:t>Tiekėjas:</w:t>
            </w:r>
          </w:p>
          <w:p>
            <w:pPr>
              <w:pStyle w:val="Normal"/>
              <w:widowControl w:val="false"/>
              <w:spacing w:before="0" w:after="0"/>
              <w:jc w:val="center"/>
              <w:rPr/>
            </w:pPr>
            <w:hyperlink r:id="rId2">
              <w:r>
                <w:rPr>
                  <w:rStyle w:val="Hyperlink"/>
                  <w:rFonts w:cs="Arial" w:ascii="Arial" w:hAnsi="Arial"/>
                  <w:color w:val="auto"/>
                  <w:sz w:val="20"/>
                  <w:szCs w:val="20"/>
                </w:rPr>
                <w:t>https://www.darom.lt/</w:t>
              </w:r>
            </w:hyperlink>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3.1.30.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Metalinis rytinės estrados turėklas su integruota led juosta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TR-01L</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4.1.</w:t>
            </w:r>
          </w:p>
          <w:p>
            <w:pPr>
              <w:pStyle w:val="Normal"/>
              <w:widowControl w:val="false"/>
              <w:spacing w:before="0" w:after="0"/>
              <w:jc w:val="center"/>
              <w:rPr>
                <w:color w:val="auto"/>
              </w:rPr>
            </w:pPr>
            <w:r>
              <w:rPr>
                <w:rFonts w:cs="Arial" w:ascii="Arial" w:hAnsi="Arial"/>
                <w:color w:val="auto"/>
                <w:sz w:val="20"/>
                <w:szCs w:val="20"/>
              </w:rPr>
              <w:t>4.5.</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3.1.32</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kauburėliai įspėjamiesiems paviršiams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ŽN-O</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150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38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3.1.33</w:t>
            </w:r>
          </w:p>
        </w:tc>
        <w:tc>
          <w:tcPr>
            <w:tcW w:w="5201" w:type="dxa"/>
            <w:tcBorders>
              <w:bottom w:val="single" w:sz="4" w:space="0" w:color="000000"/>
              <w:right w:val="single" w:sz="4" w:space="0" w:color="000000"/>
            </w:tcBorders>
            <w:shd w:fill="FFFFFF" w:val="clear"/>
            <w:vAlign w:val="center"/>
          </w:tcPr>
          <w:p>
            <w:pPr>
              <w:pStyle w:val="Normal"/>
              <w:widowControl w:val="false"/>
              <w:suppressAutoHyphens w:val="true"/>
              <w:spacing w:lineRule="auto" w:line="240" w:before="0" w:after="0"/>
              <w:rPr>
                <w:color w:val="auto"/>
              </w:rPr>
            </w:pPr>
            <w:r>
              <w:rPr>
                <w:rFonts w:cs="Arial" w:ascii="Arial" w:hAnsi="Arial"/>
                <w:b w:val="false"/>
                <w:bCs w:val="false"/>
                <w:color w:val="000000"/>
                <w:sz w:val="20"/>
                <w:szCs w:val="20"/>
                <w:shd w:fill="auto" w:val="clear"/>
              </w:rPr>
              <w:t>Nerūdijančio plieno juostelės įspėjamiesiems paviršiams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ŽN-I</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3.8.</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3.2.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trinkelių dangos įrengimo pasluoksniai</w:t>
            </w:r>
          </w:p>
        </w:tc>
        <w:tc>
          <w:tcPr>
            <w:tcW w:w="1018"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DT-01</w:t>
            </w:r>
          </w:p>
        </w:tc>
        <w:tc>
          <w:tcPr>
            <w:tcW w:w="712"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1510,00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3.2.1</w:t>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Viršutinis sluoksnis – DB-1 (dangos, kuriose </w:t>
            </w:r>
            <w:r>
              <w:rPr>
                <w:rFonts w:ascii="Arial" w:hAnsi="Arial"/>
                <w:b w:val="false"/>
                <w:bCs w:val="false"/>
                <w:color w:val="000000"/>
                <w:sz w:val="20"/>
                <w:szCs w:val="20"/>
                <w:u w:val="single"/>
                <w:shd w:fill="auto" w:val="clear"/>
              </w:rPr>
              <w:t>nenumatytas</w:t>
            </w:r>
            <w:r>
              <w:rPr>
                <w:rFonts w:ascii="Arial" w:hAnsi="Arial"/>
                <w:b w:val="false"/>
                <w:bCs w:val="false"/>
                <w:color w:val="000000"/>
                <w:sz w:val="20"/>
                <w:szCs w:val="20"/>
                <w:shd w:fill="auto" w:val="clear"/>
              </w:rPr>
              <w:t xml:space="preserve"> transporto važiavimas)</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45.3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E/V2 100 MPa (150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22.7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1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3.2.4.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Š</w:t>
            </w:r>
            <w:r>
              <w:rPr>
                <w:rFonts w:ascii="Arial" w:hAnsi="Arial"/>
                <w:b w:val="false"/>
                <w:i w:val="false"/>
                <w:strike w:val="false"/>
                <w:dstrike w:val="false"/>
                <w:color w:val="auto"/>
                <w:sz w:val="20"/>
                <w:szCs w:val="20"/>
                <w:u w:val="none"/>
              </w:rPr>
              <w:t>alčiui nejautrių medžiagų sluoksnis (≥190 mm)Pagal ĮT SBR 19/TRA SBR 19</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287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3.5.4.</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3.4.</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Betoninių ir granitinių trinkelių dangos įrengimo (važiuojamoji dalis, automobilių parkavimas) pasluoksniai</w:t>
            </w:r>
          </w:p>
        </w:tc>
        <w:tc>
          <w:tcPr>
            <w:tcW w:w="1018"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DT-02</w:t>
            </w:r>
          </w:p>
        </w:tc>
        <w:tc>
          <w:tcPr>
            <w:tcW w:w="712"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14750,00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p>
            <w:pPr>
              <w:pStyle w:val="Normal"/>
              <w:widowControl w:val="false"/>
              <w:spacing w:before="0" w:after="0"/>
              <w:jc w:val="center"/>
              <w:rPr>
                <w:rFonts w:ascii="Arial" w:hAnsi="Arial" w:cs="Arial"/>
                <w:color w:val="auto"/>
                <w:sz w:val="20"/>
                <w:szCs w:val="20"/>
              </w:rPr>
            </w:pPr>
            <w:r>
              <w:rPr>
                <w:rFonts w:cs="Arial" w:ascii="Arial" w:hAnsi="Arial"/>
                <w:color w:val="auto"/>
                <w:sz w:val="20"/>
                <w:szCs w:val="20"/>
              </w:rPr>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Cs/>
                <w:color w:val="auto"/>
                <w:sz w:val="20"/>
                <w:szCs w:val="20"/>
              </w:rPr>
            </w:pPr>
            <w:r>
              <w:rPr>
                <w:rFonts w:ascii="Arial" w:hAnsi="Arial"/>
                <w:b/>
                <w:bCs/>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 xml:space="preserve">Viršutiniai sluoksniai – DB-1, DB-2, DG-1, DG-2, DG-3, DA-1 (dangos, kuriose </w:t>
            </w:r>
            <w:r>
              <w:rPr>
                <w:rFonts w:ascii="Arial" w:hAnsi="Arial"/>
                <w:b w:val="false"/>
                <w:bCs w:val="false"/>
                <w:color w:val="000000"/>
                <w:sz w:val="20"/>
                <w:szCs w:val="20"/>
                <w:u w:val="single"/>
                <w:shd w:fill="auto" w:val="clear"/>
              </w:rPr>
              <w:t>numatomas</w:t>
            </w:r>
            <w:r>
              <w:rPr>
                <w:rFonts w:ascii="Arial" w:hAnsi="Arial"/>
                <w:b w:val="false"/>
                <w:bCs w:val="false"/>
                <w:color w:val="000000"/>
                <w:sz w:val="20"/>
                <w:szCs w:val="20"/>
                <w:shd w:fill="auto" w:val="clear"/>
              </w:rPr>
              <w:t xml:space="preserve"> transporto judėjimas)</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3.4.1.</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443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E/V2 150 MPa (200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2950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 xml:space="preserve">Apsauginis </w:t>
            </w:r>
            <w:r>
              <w:rPr>
                <w:rFonts w:ascii="Arial" w:hAnsi="Arial"/>
                <w:b w:val="false"/>
                <w:i w:val="false"/>
                <w:strike w:val="false"/>
                <w:dstrike w:val="false"/>
                <w:color w:val="auto"/>
                <w:sz w:val="20"/>
                <w:szCs w:val="20"/>
                <w:u w:val="none"/>
              </w:rPr>
              <w:t>šalčiui atsparus sluoksnis (≥440 mm) Pagal ĮT SBR 19/TRA SBR 19, E/V2 120 MPa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6490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3.4.4.</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Žemės sankasos grunto pakeitimas. F1 klasės gruntas. E/V2 45 MPa (150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2213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14750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3.5.2</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3.5.</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Asfalto dangos įrengimo (dviračių takas) pasluoksniai</w:t>
            </w:r>
          </w:p>
        </w:tc>
        <w:tc>
          <w:tcPr>
            <w:tcW w:w="1018"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DT-03</w:t>
            </w:r>
          </w:p>
        </w:tc>
        <w:tc>
          <w:tcPr>
            <w:tcW w:w="712"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130</w:t>
            </w:r>
            <w:r>
              <w:rPr>
                <w:rFonts w:ascii="Arial" w:hAnsi="Arial"/>
                <w:b/>
                <w:bCs/>
                <w:color w:val="auto"/>
                <w:sz w:val="20"/>
                <w:szCs w:val="20"/>
              </w:rPr>
              <w:t>7</w:t>
            </w:r>
            <w:r>
              <w:rPr>
                <w:rFonts w:ascii="Arial" w:hAnsi="Arial"/>
                <w:b/>
                <w:bCs/>
                <w:color w:val="auto"/>
                <w:sz w:val="20"/>
                <w:szCs w:val="20"/>
              </w:rPr>
              <w:t>,00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DA-01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3.5.2.</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outline w:val="false"/>
                <w:shadow w:val="false"/>
                <w:color w:val="auto"/>
                <w:sz w:val="20"/>
                <w:szCs w:val="20"/>
                <w:u w:val="none"/>
                <w:em w:val="none"/>
              </w:rPr>
              <w:t>Nesuri</w:t>
            </w:r>
            <w:r>
              <w:rPr>
                <w:rFonts w:ascii="Arial" w:hAnsi="Arial"/>
                <w:b w:val="false"/>
                <w:i w:val="false"/>
                <w:strike w:val="false"/>
                <w:dstrike w:val="false"/>
                <w:color w:val="auto"/>
                <w:sz w:val="20"/>
                <w:szCs w:val="20"/>
                <w:u w:val="none"/>
              </w:rPr>
              <w:t>štųjų mineralinių medžiagų mišinys fr. 0/45 (dolomito skalda) E/V2 100 MPa (200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26</w:t>
            </w:r>
            <w:r>
              <w:rPr>
                <w:rFonts w:ascii="Arial" w:hAnsi="Arial"/>
                <w:b w:val="false"/>
                <w:bCs w:val="false"/>
                <w:color w:val="auto"/>
                <w:sz w:val="20"/>
                <w:szCs w:val="20"/>
              </w:rPr>
              <w:t>1</w:t>
            </w:r>
            <w:r>
              <w:rPr>
                <w:rFonts w:ascii="Arial" w:hAnsi="Arial"/>
                <w:b w:val="false"/>
                <w:bCs w:val="false"/>
                <w:color w:val="auto"/>
                <w:sz w:val="20"/>
                <w:szCs w:val="20"/>
              </w:rPr>
              <w:t>,</w:t>
            </w:r>
            <w:r>
              <w:rPr>
                <w:rFonts w:ascii="Arial" w:hAnsi="Arial"/>
                <w:b w:val="false"/>
                <w:bCs w:val="false"/>
                <w:color w:val="auto"/>
                <w:sz w:val="20"/>
                <w:szCs w:val="20"/>
              </w:rPr>
              <w:t>413</w:t>
            </w:r>
            <w:r>
              <w:rPr>
                <w:rFonts w:ascii="Arial" w:hAnsi="Arial"/>
                <w:b w:val="false"/>
                <w:bCs w:val="false"/>
                <w:color w:val="auto"/>
                <w:sz w:val="20"/>
                <w:szCs w:val="20"/>
              </w:rPr>
              <w:t>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3.5.3.</w:t>
            </w:r>
          </w:p>
        </w:tc>
        <w:tc>
          <w:tcPr>
            <w:tcW w:w="5201" w:type="dxa"/>
            <w:tcBorders>
              <w:bottom w:val="single" w:sz="4" w:space="0" w:color="000000"/>
              <w:right w:val="single" w:sz="4" w:space="0" w:color="000000"/>
            </w:tcBorders>
            <w:shd w:fill="FFFFFF" w:val="clear"/>
            <w:vAlign w:val="center"/>
          </w:tcPr>
          <w:p>
            <w:pPr>
              <w:pStyle w:val="Normal"/>
              <w:widowControl w:val="false"/>
              <w:spacing w:before="0" w:after="200"/>
              <w:rPr>
                <w:color w:val="auto"/>
              </w:rPr>
            </w:pPr>
            <w:r>
              <w:rPr>
                <w:rFonts w:ascii="Arial" w:hAnsi="Arial"/>
                <w:b w:val="false"/>
                <w:i w:val="false"/>
                <w:strike w:val="false"/>
                <w:dstrike w:val="false"/>
                <w:color w:val="auto"/>
                <w:sz w:val="20"/>
                <w:szCs w:val="20"/>
                <w:u w:val="none"/>
              </w:rPr>
              <w:t>Šalčiui nejautrių medžiagų sluoksnis (≥170 mm) Pagal ĮT SBR 19/TRA SBR 19</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22</w:t>
            </w:r>
            <w:r>
              <w:rPr>
                <w:rFonts w:ascii="Arial" w:hAnsi="Arial"/>
                <w:b w:val="false"/>
                <w:bCs w:val="false"/>
                <w:color w:val="auto"/>
                <w:sz w:val="20"/>
                <w:szCs w:val="20"/>
              </w:rPr>
              <w:t>2</w:t>
            </w:r>
            <w:r>
              <w:rPr>
                <w:rFonts w:ascii="Arial" w:hAnsi="Arial"/>
                <w:b w:val="false"/>
                <w:bCs w:val="false"/>
                <w:color w:val="auto"/>
                <w:sz w:val="20"/>
                <w:szCs w:val="20"/>
              </w:rPr>
              <w:t>,</w:t>
            </w:r>
            <w:r>
              <w:rPr>
                <w:rFonts w:ascii="Arial" w:hAnsi="Arial"/>
                <w:b w:val="false"/>
                <w:bCs w:val="false"/>
                <w:color w:val="auto"/>
                <w:sz w:val="20"/>
                <w:szCs w:val="20"/>
              </w:rPr>
              <w:t>2</w:t>
            </w:r>
            <w:r>
              <w:rPr>
                <w:rFonts w:ascii="Arial" w:hAnsi="Arial"/>
                <w:b w:val="false"/>
                <w:bCs w:val="false"/>
                <w:color w:val="auto"/>
                <w:sz w:val="20"/>
                <w:szCs w:val="20"/>
              </w:rPr>
              <w:t>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3.5.3.</w:t>
            </w:r>
          </w:p>
        </w:tc>
      </w:tr>
      <w:tr>
        <w:trPr>
          <w:trHeight w:val="336"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3.7.</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Vaikų žaidimų aikštelės dangos pasluoksniai</w:t>
            </w:r>
          </w:p>
        </w:tc>
        <w:tc>
          <w:tcPr>
            <w:tcW w:w="1018"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DT-05</w:t>
            </w:r>
          </w:p>
        </w:tc>
        <w:tc>
          <w:tcPr>
            <w:tcW w:w="712"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1090,00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DV-01</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3.7.2</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0/2 - 0/5, (30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3.7.3</w:t>
            </w:r>
          </w:p>
        </w:tc>
        <w:tc>
          <w:tcPr>
            <w:tcW w:w="5201" w:type="dxa"/>
            <w:tcBorders>
              <w:bottom w:val="single" w:sz="4" w:space="0" w:color="000000"/>
              <w:right w:val="single" w:sz="4" w:space="0" w:color="000000"/>
            </w:tcBorders>
            <w:shd w:fill="FFFFFF" w:val="clear"/>
            <w:vAlign w:val="center"/>
          </w:tcPr>
          <w:p>
            <w:pPr>
              <w:pStyle w:val="Normal"/>
              <w:widowControl w:val="false"/>
              <w:bidi w:val="0"/>
              <w:spacing w:before="0" w:after="200"/>
              <w:jc w:val="left"/>
              <w:rPr>
                <w:color w:val="auto"/>
              </w:rPr>
            </w:pPr>
            <w:r>
              <w:rPr>
                <w:rFonts w:ascii="Arial" w:hAnsi="Arial"/>
                <w:b w:val="false"/>
                <w:i w:val="false"/>
                <w:strike w:val="false"/>
                <w:dstrike w:val="false"/>
                <w:outline w:val="false"/>
                <w:shadow w:val="false"/>
                <w:color w:val="auto"/>
                <w:sz w:val="20"/>
                <w:szCs w:val="20"/>
                <w:u w:val="none"/>
                <w:em w:val="none"/>
              </w:rPr>
              <w:t>Nesurištųjų mineralinių medžiagų mišinys fr. 0/45 (dolomito skalda) 150 mm)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3.7.4</w:t>
            </w:r>
          </w:p>
        </w:tc>
        <w:tc>
          <w:tcPr>
            <w:tcW w:w="5201" w:type="dxa"/>
            <w:tcBorders>
              <w:bottom w:val="single" w:sz="4" w:space="0" w:color="000000"/>
              <w:right w:val="single" w:sz="4" w:space="0" w:color="000000"/>
            </w:tcBorders>
            <w:shd w:fill="FFFFFF" w:val="clear"/>
            <w:vAlign w:val="center"/>
          </w:tcPr>
          <w:p>
            <w:pPr>
              <w:pStyle w:val="Normal"/>
              <w:widowControl w:val="false"/>
              <w:bidi w:val="0"/>
              <w:jc w:val="left"/>
              <w:rPr>
                <w:color w:val="auto"/>
              </w:rPr>
            </w:pPr>
            <w:r>
              <w:rPr>
                <w:rFonts w:ascii="Arial" w:hAnsi="Arial"/>
                <w:b w:val="false"/>
                <w:i w:val="false"/>
                <w:strike w:val="false"/>
                <w:dstrike w:val="false"/>
                <w:outline w:val="false"/>
                <w:shadow w:val="false"/>
                <w:color w:val="auto"/>
                <w:sz w:val="20"/>
                <w:szCs w:val="20"/>
                <w:u w:val="none"/>
                <w:em w:val="none"/>
              </w:rPr>
              <w:t>Šalčiui nejautrių medžiagų sluoksnis (Pagal ĮT SBR 19/TRA SBR 19) ≥190 mm)</w:t>
            </w:r>
          </w:p>
          <w:p>
            <w:pPr>
              <w:pStyle w:val="Normal"/>
              <w:widowControl w:val="false"/>
              <w:bidi w:val="0"/>
              <w:spacing w:before="0" w:after="200"/>
              <w:jc w:val="left"/>
              <w:rPr>
                <w:rFonts w:ascii="Arial" w:hAnsi="Arial"/>
                <w:color w:val="auto"/>
                <w:sz w:val="20"/>
                <w:szCs w:val="20"/>
              </w:rPr>
            </w:pPr>
            <w:r>
              <w:rPr>
                <w:rFonts w:ascii="Arial" w:hAnsi="Arial"/>
                <w:color w:val="auto"/>
                <w:sz w:val="20"/>
                <w:szCs w:val="20"/>
              </w:rPr>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3</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207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33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3.7.5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1090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3.4.</w:t>
            </w:r>
          </w:p>
          <w:p>
            <w:pPr>
              <w:pStyle w:val="Normal"/>
              <w:widowControl w:val="false"/>
              <w:spacing w:before="0" w:after="0"/>
              <w:jc w:val="center"/>
              <w:rPr>
                <w:color w:val="auto"/>
              </w:rPr>
            </w:pPr>
            <w:r>
              <w:rPr>
                <w:rFonts w:cs="Arial" w:ascii="Arial" w:hAnsi="Arial"/>
                <w:color w:val="auto"/>
                <w:sz w:val="20"/>
                <w:szCs w:val="20"/>
              </w:rPr>
              <w:t>3.5.5.</w:t>
            </w:r>
          </w:p>
        </w:tc>
      </w:tr>
      <w:tr>
        <w:trPr>
          <w:trHeight w:val="13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4.</w:t>
            </w:r>
          </w:p>
        </w:tc>
        <w:tc>
          <w:tcPr>
            <w:tcW w:w="8153" w:type="dxa"/>
            <w:gridSpan w:val="4"/>
            <w:tcBorders>
              <w:bottom w:val="single" w:sz="4" w:space="0" w:color="000000"/>
              <w:right w:val="single" w:sz="4" w:space="0" w:color="000000"/>
            </w:tcBorders>
            <w:shd w:fill="ABABAB" w:val="clear"/>
            <w:vAlign w:val="center"/>
          </w:tcPr>
          <w:p>
            <w:pPr>
              <w:pStyle w:val="Normal"/>
              <w:widowControl w:val="false"/>
              <w:suppressAutoHyphens w:val="true"/>
              <w:spacing w:lineRule="auto" w:line="240" w:before="0" w:after="0"/>
              <w:rPr>
                <w:color w:val="auto"/>
              </w:rPr>
            </w:pPr>
            <w:r>
              <w:rPr>
                <w:rFonts w:cs="Arial" w:ascii="Arial" w:hAnsi="Arial"/>
                <w:b/>
                <w:bCs/>
                <w:color w:val="000000"/>
                <w:sz w:val="20"/>
                <w:szCs w:val="20"/>
                <w:shd w:fill="auto" w:val="clear"/>
              </w:rPr>
              <w:t>Konstrukcinio drenažo įrengimas</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36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Tranšėjos kasimas, grunto pakrovimas ir išvežimas į rangovo pasirinktą vietą</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11/16</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20,7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Žvirgždo skalda fr. 5/8</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m³</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Plastikinio konstrukcinio drenažo vamzdžio su geotekstilės filtru d≥113 mm įrengimas</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2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4.5.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Geotekstilės grunto atskyrimui, įrengimas</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m²</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3.3.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5.</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lang w:eastAsia="lt-LT"/>
              </w:rPr>
              <w:t>Mažosios architektūros elementai</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80"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Vėliavų stiebai</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V-01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418"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lang w:eastAsia="lt-LT"/>
              </w:rPr>
              <w:t>Šiukšlių dėžė</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K-01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Šiukšlių dėžė šunų ekskrementams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K-02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9</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4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Gėlių vazonai eismo atribojimui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GV-01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Atitvėrimo stulpeliai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AS-01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88</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127"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auto"/>
                <w:sz w:val="20"/>
                <w:szCs w:val="20"/>
              </w:rPr>
              <w:t>Parkavimo bortelis - ratų atmušėjas (metalinis)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PB-01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57</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5.7.</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Dviračių stovai</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14</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Geriamo vandens kolonėlė</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VS-01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Suolas su atlošu</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Lenktas suolas be atlošo</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4</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4.3.</w:t>
            </w:r>
          </w:p>
        </w:tc>
      </w:tr>
      <w:tr>
        <w:trPr>
          <w:trHeight w:val="193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(2000x400x300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0,17*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0,80*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i w:val="false"/>
                <w:caps w:val="false"/>
                <w:smallCaps w:val="false"/>
                <w:color w:val="000000"/>
                <w:spacing w:val="0"/>
                <w:position w:val="0"/>
                <w:sz w:val="20"/>
                <w:sz w:val="20"/>
                <w:szCs w:val="20"/>
                <w:shd w:fill="auto" w:val="clear"/>
                <w:vertAlign w:val="baseline"/>
              </w:rPr>
              <w:t>3 mm nerūdijančio pieno tvirtinimo juosta lentoms, ilgis 380 mm,  3</w:t>
            </w:r>
            <w:r>
              <w:rPr>
                <w:rFonts w:ascii="Arial;sans-serif" w:hAnsi="Arial;sans-serif"/>
                <w:b/>
                <w:bCs/>
                <w:i w:val="false"/>
                <w:caps w:val="false"/>
                <w:smallCaps w:val="false"/>
                <w:color w:val="000000"/>
                <w:spacing w:val="0"/>
                <w:position w:val="0"/>
                <w:sz w:val="20"/>
                <w:sz w:val="20"/>
                <w:szCs w:val="20"/>
                <w:shd w:fill="auto" w:val="clear"/>
                <w:vertAlign w:val="baseline"/>
              </w:rPr>
              <w:t xml:space="preserve"> </w:t>
            </w:r>
            <w:r>
              <w:rPr>
                <w:rFonts w:ascii="Arial;sans-serif" w:hAnsi="Arial;sans-serif"/>
                <w:b w:val="false"/>
                <w:i w:val="false"/>
                <w:caps w:val="false"/>
                <w:smallCaps w:val="false"/>
                <w:color w:val="000000"/>
                <w:spacing w:val="0"/>
                <w:position w:val="0"/>
                <w:sz w:val="20"/>
                <w:sz w:val="20"/>
                <w:szCs w:val="20"/>
                <w:shd w:fill="auto" w:val="clear"/>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1680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4.4.</w:t>
            </w:r>
          </w:p>
          <w:p>
            <w:pPr>
              <w:pStyle w:val="Normal"/>
              <w:widowControl w:val="false"/>
              <w:spacing w:before="0" w:after="0"/>
              <w:jc w:val="left"/>
              <w:rPr>
                <w:color w:val="auto"/>
              </w:rPr>
            </w:pPr>
            <w:r>
              <w:rPr>
                <w:rFonts w:cs="Arial" w:ascii="Arial" w:hAnsi="Arial"/>
                <w:color w:val="auto"/>
                <w:sz w:val="16"/>
                <w:szCs w:val="16"/>
              </w:rPr>
              <w:t>Tiekėjas:</w:t>
            </w:r>
          </w:p>
          <w:p>
            <w:pPr>
              <w:pStyle w:val="Normal"/>
              <w:widowControl w:val="false"/>
              <w:spacing w:before="0" w:after="0"/>
              <w:jc w:val="left"/>
              <w:rPr/>
            </w:pPr>
            <w:r>
              <w:rPr>
                <w:rFonts w:cs="Arial" w:ascii="Arial" w:hAnsi="Arial"/>
                <w:color w:val="auto"/>
                <w:sz w:val="16"/>
                <w:szCs w:val="16"/>
              </w:rPr>
              <w:t>WPC:</w:t>
            </w:r>
            <w:hyperlink r:id="rId3">
              <w:r>
                <w:rPr>
                  <w:rStyle w:val="Hyperlink"/>
                  <w:rFonts w:cs="Arial" w:ascii="Arial" w:hAnsi="Arial"/>
                  <w:color w:val="auto"/>
                  <w:sz w:val="16"/>
                  <w:szCs w:val="16"/>
                </w:rPr>
                <w:t>https://www.laukodangos.lt/</w:t>
              </w:r>
            </w:hyperlink>
          </w:p>
          <w:p>
            <w:pPr>
              <w:pStyle w:val="Normal"/>
              <w:widowControl w:val="false"/>
              <w:spacing w:before="0" w:after="0"/>
              <w:jc w:val="left"/>
              <w:rPr>
                <w:color w:val="auto"/>
              </w:rPr>
            </w:pPr>
            <w:r>
              <w:rPr>
                <w:rFonts w:cs="Arial" w:ascii="Arial" w:hAnsi="Arial"/>
                <w:color w:val="auto"/>
                <w:sz w:val="16"/>
                <w:szCs w:val="16"/>
              </w:rPr>
              <w:t>Suolų betonas:</w:t>
            </w:r>
          </w:p>
          <w:p>
            <w:pPr>
              <w:pStyle w:val="Normal"/>
              <w:widowControl w:val="false"/>
              <w:spacing w:before="0" w:after="0"/>
              <w:jc w:val="left"/>
              <w:rPr/>
            </w:pPr>
            <w:hyperlink r:id="rId4">
              <w:r>
                <w:rPr>
                  <w:rStyle w:val="Hyperlink"/>
                  <w:rFonts w:cs="Arial" w:ascii="Arial" w:hAnsi="Arial"/>
                  <w:color w:val="auto"/>
                  <w:sz w:val="16"/>
                  <w:szCs w:val="16"/>
                </w:rPr>
                <w:t>https://www.dekobetonas.lt/</w:t>
              </w:r>
            </w:hyperlink>
          </w:p>
          <w:p>
            <w:pPr>
              <w:pStyle w:val="Normal"/>
              <w:widowControl w:val="false"/>
              <w:spacing w:before="0" w:after="0"/>
              <w:jc w:val="left"/>
              <w:rPr>
                <w:rFonts w:ascii="Arial" w:hAnsi="Arial" w:cs="Arial"/>
                <w:color w:val="auto"/>
                <w:sz w:val="20"/>
                <w:szCs w:val="20"/>
              </w:rPr>
            </w:pPr>
            <w:r>
              <w:rPr>
                <w:rFonts w:cs="Arial" w:ascii="Arial" w:hAnsi="Arial"/>
                <w:color w:val="auto"/>
                <w:sz w:val="20"/>
                <w:szCs w:val="20"/>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(1150x400x300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0,10*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0,46*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2</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(1380x400x300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0,12*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0,55*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(1610x400x300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0,14*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0,65*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(1840x400x300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0,16*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0,75*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(2070x400x300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–0,18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–0,82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104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(2300x400x300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0,20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–0,92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(2520x400x300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0,22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1,00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3</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i/>
                <w:iCs/>
                <w:caps w:val="false"/>
                <w:smallCaps w:val="false"/>
                <w:color w:val="auto"/>
                <w:spacing w:val="0"/>
                <w:kern w:val="0"/>
                <w:sz w:val="16"/>
                <w:szCs w:val="16"/>
                <w:u w:val="none"/>
                <w:shd w:fill="auto" w:val="clear"/>
                <w:lang w:val="lt-LT" w:eastAsia="en-US" w:bidi="ar-SA"/>
              </w:rPr>
            </w:pP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57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(2750x400x300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–0,24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ES-09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Rytinės tribūnos suolas (2980x400x300 mm)*</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Betono suoliuko karkasas armuotas metalo tinklu ir armatūra;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2. Išoriniai suolo kampai užapvalinti R5;</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 xml:space="preserve">3. Betonas </w:t>
            </w:r>
            <w:r>
              <w:rPr>
                <w:rFonts w:ascii="Arial" w:hAnsi="Arial"/>
                <w:b w:val="false"/>
                <w:i w:val="false"/>
                <w:caps w:val="false"/>
                <w:smallCaps w:val="false"/>
                <w:strike w:val="false"/>
                <w:dstrike w:val="false"/>
                <w:outline w:val="false"/>
                <w:shadow w:val="false"/>
                <w:color w:val="000000"/>
                <w:spacing w:val="0"/>
                <w:sz w:val="20"/>
                <w:szCs w:val="20"/>
                <w:u w:val="none"/>
                <w:shd w:fill="auto" w:val="clear"/>
                <w:em w:val="none"/>
              </w:rPr>
              <w:t xml:space="preserve">≥ </w:t>
            </w:r>
            <w:r>
              <w:rPr>
                <w:rFonts w:ascii="Arial" w:hAnsi="Arial"/>
                <w:b w:val="false"/>
                <w:i w:val="false"/>
                <w:caps w:val="false"/>
                <w:smallCaps w:val="false"/>
                <w:color w:val="000000"/>
                <w:spacing w:val="0"/>
                <w:sz w:val="20"/>
                <w:szCs w:val="20"/>
                <w:shd w:fill="auto" w:val="clear"/>
              </w:rPr>
              <w:t>C30 klasės su papildomais priedais, gerinančiais atsparumą atmosferos poveikiui;</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4. Betoninė suolo dalis impregnuota nuo atmosferos poveikio</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5. Paviršius dengtas antigrafitine danga;</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6. Suolų tvirtinimas ankeriais į pamatą detalizuojamas DP.</w:t>
            </w:r>
          </w:p>
          <w:p>
            <w:pPr>
              <w:pStyle w:val="BodyText"/>
              <w:widowControl w:val="false"/>
              <w:spacing w:lineRule="auto" w:line="240" w:before="0" w:after="0"/>
              <w:rPr>
                <w:color w:val="auto"/>
              </w:rPr>
            </w:pPr>
            <w:r>
              <w:rPr>
                <w:rFonts w:ascii="Arial" w:hAnsi="Arial"/>
                <w:b w:val="false"/>
                <w:i w:val="false"/>
                <w:caps w:val="false"/>
                <w:smallCaps w:val="false"/>
                <w:color w:val="000000"/>
                <w:spacing w:val="0"/>
                <w:sz w:val="20"/>
                <w:szCs w:val="20"/>
                <w:shd w:fill="auto" w:val="clear"/>
              </w:rPr>
              <w:t>1 vnt. suolo:</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sz w:val="20"/>
                <w:szCs w:val="20"/>
                <w:shd w:fill="auto" w:val="clear"/>
              </w:rPr>
              <w:t>betono tūris – 0,26 * m</w:t>
            </w:r>
            <w:r>
              <w:rPr>
                <w:rFonts w:ascii="Arial" w:hAnsi="Arial"/>
                <w:b w:val="false"/>
                <w:i w:val="false"/>
                <w:caps w:val="false"/>
                <w:smallCaps w:val="false"/>
                <w:color w:val="000000"/>
                <w:spacing w:val="0"/>
                <w:sz w:val="20"/>
                <w:szCs w:val="20"/>
                <w:shd w:fill="auto" w:val="clear"/>
                <w:vertAlign w:val="superscript"/>
              </w:rPr>
              <w:t>3</w:t>
            </w:r>
          </w:p>
          <w:p>
            <w:pPr>
              <w:pStyle w:val="BodyText"/>
              <w:widowControl w:val="false"/>
              <w:numPr>
                <w:ilvl w:val="0"/>
                <w:numId w:val="2"/>
              </w:numPr>
              <w:spacing w:lineRule="auto" w:line="240" w:before="0" w:after="0"/>
              <w:rPr>
                <w:color w:val="auto"/>
              </w:rPr>
            </w:pPr>
            <w:r>
              <w:rPr>
                <w:rFonts w:ascii="Arial" w:hAnsi="Arial"/>
                <w:b w:val="false"/>
                <w:i w:val="false"/>
                <w:caps w:val="false"/>
                <w:smallCaps w:val="false"/>
                <w:color w:val="000000"/>
                <w:spacing w:val="0"/>
                <w:position w:val="0"/>
                <w:sz w:val="20"/>
                <w:sz w:val="20"/>
                <w:szCs w:val="20"/>
                <w:shd w:fill="auto" w:val="clear"/>
                <w:vertAlign w:val="baseline"/>
              </w:rPr>
              <w:t>medžio plastiko kompozito pilnavidurės lentos (WPC) (57x32 mm) – 1,19 * m</w:t>
            </w:r>
            <w:r>
              <w:rPr>
                <w:rFonts w:ascii="Arial" w:hAnsi="Arial"/>
                <w:b w:val="false"/>
                <w:i w:val="false"/>
                <w:caps w:val="false"/>
                <w:smallCaps w:val="false"/>
                <w:color w:val="000000"/>
                <w:spacing w:val="0"/>
                <w:sz w:val="20"/>
                <w:szCs w:val="20"/>
                <w:shd w:fill="auto" w:val="clear"/>
                <w:vertAlign w:val="superscript"/>
              </w:rPr>
              <w:t>2</w:t>
            </w:r>
          </w:p>
          <w:p>
            <w:pPr>
              <w:pStyle w:val="BodyText"/>
              <w:widowControl w:val="false"/>
              <w:numPr>
                <w:ilvl w:val="0"/>
                <w:numId w:val="2"/>
              </w:numPr>
              <w:spacing w:lineRule="auto" w:line="240" w:before="0" w:after="0"/>
              <w:rPr>
                <w:color w:val="auto"/>
              </w:rPr>
            </w:pPr>
            <w:r>
              <w:rPr>
                <w:rFonts w:ascii="Arial;sans-serif" w:hAnsi="Arial;sans-serif"/>
                <w:b w:val="false"/>
                <w:bCs/>
                <w:i w:val="false"/>
                <w:caps w:val="false"/>
                <w:smallCaps w:val="false"/>
                <w:color w:val="auto"/>
                <w:spacing w:val="0"/>
                <w:position w:val="0"/>
                <w:sz w:val="20"/>
                <w:sz w:val="20"/>
                <w:szCs w:val="20"/>
                <w:vertAlign w:val="baseline"/>
              </w:rPr>
              <w:t>3 mm nerūdijančio pieno tvirtinimo juosta lentoms, ilgis 380 mm,  4</w:t>
            </w:r>
            <w:r>
              <w:rPr>
                <w:rFonts w:ascii="Arial;sans-serif" w:hAnsi="Arial;sans-serif"/>
                <w:b/>
                <w:bCs/>
                <w:i w:val="false"/>
                <w:caps w:val="false"/>
                <w:smallCaps w:val="false"/>
                <w:color w:val="auto"/>
                <w:spacing w:val="0"/>
                <w:position w:val="0"/>
                <w:sz w:val="20"/>
                <w:sz w:val="20"/>
                <w:szCs w:val="20"/>
                <w:vertAlign w:val="baseline"/>
              </w:rPr>
              <w:t xml:space="preserve"> </w:t>
            </w:r>
            <w:r>
              <w:rPr>
                <w:rFonts w:ascii="Arial;sans-serif" w:hAnsi="Arial;sans-serif"/>
                <w:b w:val="false"/>
                <w:bCs/>
                <w:i w:val="false"/>
                <w:caps w:val="false"/>
                <w:smallCaps w:val="false"/>
                <w:color w:val="auto"/>
                <w:spacing w:val="0"/>
                <w:position w:val="0"/>
                <w:sz w:val="20"/>
                <w:sz w:val="20"/>
                <w:szCs w:val="20"/>
                <w:vertAlign w:val="baseline"/>
              </w:rPr>
              <w:t xml:space="preserve"> vnt.</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ES-10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30</w:t>
            </w:r>
          </w:p>
        </w:tc>
        <w:tc>
          <w:tcPr>
            <w:tcW w:w="1470" w:type="dxa"/>
            <w:tcBorders>
              <w:bottom w:val="single" w:sz="4" w:space="0" w:color="000000"/>
              <w:right w:val="single" w:sz="4" w:space="0" w:color="000000"/>
            </w:tcBorders>
            <w:shd w:fill="FFFFFF" w:val="clear"/>
            <w:vAlign w:val="center"/>
          </w:tcPr>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t>4.4.</w:t>
            </w:r>
          </w:p>
          <w:p>
            <w:pPr>
              <w:pStyle w:val="BodyText"/>
              <w:widowControl w:val="false"/>
              <w:suppressAutoHyphens w:val="true"/>
              <w:overflowPunct w:val="false"/>
              <w:bidi w:val="0"/>
              <w:spacing w:lineRule="auto" w:line="240" w:before="0" w:after="0"/>
              <w:jc w:val="center"/>
              <w:rPr>
                <w:rFonts w:ascii="Arial" w:hAnsi="Arial" w:eastAsia="Times New Roman" w:cs="Times New Roman"/>
                <w:b w:val="false"/>
                <w:i w:val="false"/>
                <w:i w:val="false"/>
                <w:caps w:val="false"/>
                <w:smallCaps w:val="false"/>
                <w:color w:val="auto"/>
                <w:spacing w:val="0"/>
                <w:kern w:val="0"/>
                <w:sz w:val="20"/>
                <w:szCs w:val="20"/>
                <w:shd w:fill="auto" w:val="clear"/>
                <w:lang w:val="lt-LT" w:eastAsia="en-US" w:bidi="ar-SA"/>
              </w:rPr>
            </w:pPr>
            <w:r>
              <w:rPr>
                <w:rFonts w:eastAsia="Times New Roman" w:cs="Times New Roman" w:ascii="Arial" w:hAnsi="Arial"/>
                <w:b w:val="false"/>
                <w:i w:val="false"/>
                <w:caps w:val="false"/>
                <w:smallCaps w:val="false"/>
                <w:color w:val="000000"/>
                <w:spacing w:val="0"/>
                <w:kern w:val="0"/>
                <w:sz w:val="20"/>
                <w:szCs w:val="20"/>
                <w:shd w:fill="auto" w:val="clear"/>
                <w:lang w:val="lt-LT" w:eastAsia="en-US" w:bidi="ar-SA"/>
              </w:rPr>
            </w:r>
          </w:p>
          <w:p>
            <w:pPr>
              <w:pStyle w:val="BodyText"/>
              <w:widowControl w:val="false"/>
              <w:suppressAutoHyphens w:val="true"/>
              <w:overflowPunct w:val="false"/>
              <w:bidi w:val="0"/>
              <w:spacing w:lineRule="auto" w:line="240" w:before="0" w:after="0"/>
              <w:jc w:val="center"/>
              <w:rPr>
                <w:color w:val="auto"/>
              </w:rPr>
            </w:pPr>
            <w:r>
              <w:rPr>
                <w:rFonts w:eastAsia="Times New Roman" w:cs="Times New Roman" w:ascii="Arial" w:hAnsi="Arial"/>
                <w:b w:val="false"/>
                <w:i/>
                <w:iCs/>
                <w:caps w:val="false"/>
                <w:smallCaps w:val="false"/>
                <w:color w:val="000000"/>
                <w:spacing w:val="0"/>
                <w:kern w:val="0"/>
                <w:sz w:val="16"/>
                <w:szCs w:val="16"/>
                <w:u w:val="single"/>
                <w:shd w:fill="auto" w:val="clear"/>
                <w:lang w:val="lt-LT" w:eastAsia="en-US" w:bidi="ar-SA"/>
              </w:rPr>
              <w:t>Pastaba:</w:t>
            </w:r>
            <w:r>
              <w:rPr>
                <w:rFonts w:eastAsia="Times New Roman" w:cs="Times New Roman" w:ascii="Arial" w:hAnsi="Arial"/>
                <w:b w:val="false"/>
                <w:i/>
                <w:iCs/>
                <w:caps w:val="false"/>
                <w:smallCaps w:val="false"/>
                <w:color w:val="000000"/>
                <w:spacing w:val="0"/>
                <w:kern w:val="0"/>
                <w:sz w:val="16"/>
                <w:szCs w:val="16"/>
                <w:u w:val="none"/>
                <w:shd w:fill="auto" w:val="clear"/>
                <w:lang w:val="lt-LT" w:eastAsia="en-US" w:bidi="ar-SA"/>
              </w:rPr>
              <w:t xml:space="preserve"> Suolo ilgis tikslinamas DP metu, pagal esamą situaciją. Suolai turi lygiuotis su laiptų krašto ašimi. Žr. Brėžinyje P22-037-KRTP-SP.B-10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5.21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plokštelių/ ženklų įrengimas estrados eilių ženklinimui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olor w:val="auto"/>
                <w:sz w:val="20"/>
                <w:szCs w:val="20"/>
              </w:rPr>
            </w:pPr>
            <w:r>
              <w:rPr>
                <w:rFonts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780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position w:val="0"/>
                <w:sz w:val="20"/>
                <w:sz w:val="20"/>
                <w:szCs w:val="20"/>
                <w:vertAlign w:val="baseline"/>
              </w:rPr>
              <w:t>4.6.</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Nerūdijančio plieno metalinė tvorelė su 2 vnt. dvigubų vartelių. h-1,1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139,00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(5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3</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5.2.4.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color w:val="000000"/>
                <w:sz w:val="20"/>
                <w:szCs w:val="20"/>
                <w:shd w:fill="auto" w:val="clear"/>
              </w:rPr>
              <w:t>Pusiau požeminiai šiukšlių konteineriai (3 m</w:t>
            </w:r>
            <w:r>
              <w:rPr>
                <w:rFonts w:ascii="Arial" w:hAnsi="Arial"/>
                <w:color w:val="000000"/>
                <w:sz w:val="20"/>
                <w:szCs w:val="20"/>
                <w:shd w:fill="auto" w:val="clear"/>
                <w:vertAlign w:val="superscript"/>
              </w:rPr>
              <w:t xml:space="preserve">3 </w:t>
            </w:r>
            <w:r>
              <w:rPr>
                <w:rFonts w:ascii="Arial" w:hAnsi="Arial"/>
                <w:color w:val="000000"/>
                <w:position w:val="0"/>
                <w:sz w:val="20"/>
                <w:sz w:val="20"/>
                <w:szCs w:val="20"/>
                <w:shd w:fill="auto" w:val="clear"/>
                <w:vertAlign w:val="baseline"/>
              </w:rPr>
              <w:t>talpos)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rPr>
                <w:rFonts w:ascii="Arial" w:hAnsi="Arial"/>
                <w:color w:val="auto"/>
                <w:sz w:val="20"/>
                <w:szCs w:val="20"/>
                <w:shd w:fill="auto" w:val="clear"/>
              </w:rPr>
            </w:pPr>
            <w:r>
              <w:rPr>
                <w:rFonts w:ascii="Arial" w:hAnsi="Arial"/>
                <w:color w:val="000000"/>
                <w:sz w:val="20"/>
                <w:szCs w:val="20"/>
                <w:shd w:fill="auto" w:val="clear"/>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1</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000000"/>
                <w:sz w:val="20"/>
                <w:szCs w:val="20"/>
                <w:shd w:fill="auto" w:val="clear"/>
              </w:rPr>
              <w:t>4.10.</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6.</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Vaikų žaidimų aikštelė (06)</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6.1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32"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6"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1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32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ŽA09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2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48"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Žaidimų aikštelės įrenginys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ŽA18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color w:val="auto"/>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rPr>
              <w:t>4.2.</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7.</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(08)</w:t>
            </w:r>
          </w:p>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(Elementų važiuojamieji paviršiai skaičiuojami vertikalūs ir horizontalūs)</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7.1.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danga</w:t>
            </w:r>
          </w:p>
        </w:tc>
        <w:tc>
          <w:tcPr>
            <w:tcW w:w="1470"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sz w:val="20"/>
                <w:szCs w:val="20"/>
                <w:shd w:fill="auto" w:val="clear"/>
              </w:rPr>
              <w:t>4.7.</w:t>
            </w:r>
          </w:p>
          <w:p>
            <w:pPr>
              <w:pStyle w:val="Normal"/>
              <w:widowControl w:val="false"/>
              <w:spacing w:lineRule="auto" w:line="240" w:before="0" w:after="0"/>
              <w:jc w:val="center"/>
              <w:rPr>
                <w:color w:val="auto"/>
              </w:rPr>
            </w:pPr>
            <w:r>
              <w:rPr>
                <w:rFonts w:ascii="Arial" w:hAnsi="Arial"/>
                <w:b/>
                <w:bCs/>
                <w:color w:val="000000"/>
                <w:sz w:val="20"/>
                <w:szCs w:val="20"/>
                <w:shd w:fill="auto" w:val="clear"/>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DB-03</w:t>
            </w:r>
          </w:p>
        </w:tc>
        <w:tc>
          <w:tcPr>
            <w:tcW w:w="71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7.1.2.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m</w:t>
            </w:r>
            <w:r>
              <w:rPr>
                <w:rFonts w:cs="Arial" w:ascii="Arial" w:hAnsi="Arial"/>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1705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7.2.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Betono dangos įrengimo pasluoksniai</w:t>
            </w:r>
          </w:p>
        </w:tc>
        <w:tc>
          <w:tcPr>
            <w:tcW w:w="1018"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2"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color w:val="000000"/>
                <w:position w:val="0"/>
                <w:sz w:val="20"/>
                <w:sz w:val="20"/>
                <w:szCs w:val="20"/>
                <w:shd w:fill="auto" w:val="clear"/>
                <w:vertAlign w:val="baseline"/>
                <w:lang w:eastAsia="lt-LT"/>
              </w:rPr>
              <w:t>m</w:t>
            </w:r>
            <w:r>
              <w:rPr>
                <w:rFonts w:ascii="Arial" w:hAnsi="Arial"/>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1705</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4.7.</w:t>
            </w:r>
          </w:p>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bCs/>
                <w:color w:val="auto"/>
                <w:sz w:val="20"/>
                <w:szCs w:val="20"/>
              </w:rPr>
            </w:pPr>
            <w:r>
              <w:rPr>
                <w:rFonts w:ascii="Arial" w:hAnsi="Arial"/>
                <w:b/>
                <w:bCs/>
                <w:color w:val="auto"/>
                <w:sz w:val="20"/>
                <w:szCs w:val="20"/>
              </w:rPr>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712"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color w:val="auto"/>
                <w:sz w:val="20"/>
                <w:szCs w:val="20"/>
                <w:lang w:eastAsia="lt-LT"/>
              </w:rPr>
            </w:pPr>
            <w:r>
              <w:rPr>
                <w:rFonts w:cs="Arial" w:ascii="Arial" w:hAnsi="Arial"/>
                <w:color w:val="auto"/>
                <w:sz w:val="20"/>
                <w:szCs w:val="20"/>
                <w:lang w:eastAsia="lt-LT"/>
              </w:rPr>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Žvyro skaldos fr 0 – 45mm arba dolomitinės skaldos sluoksnis fr. 0 – 32mm (150 mm)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256,00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7.2.2.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color w:val="auto"/>
                <w:kern w:val="0"/>
                <w:sz w:val="20"/>
                <w:szCs w:val="20"/>
                <w:lang w:val="lt-LT" w:eastAsia="en-US" w:bidi="ar-SA"/>
              </w:rPr>
              <w:t>Šalčiui atsparus smėlio - žvyro sluoksnis fr. 0 – 32mm (380 mm)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bCs/>
                <w:color w:val="auto"/>
                <w:sz w:val="20"/>
                <w:szCs w:val="20"/>
              </w:rPr>
            </w:pPr>
            <w:r>
              <w:rPr>
                <w:rFonts w:ascii="Arial" w:hAnsi="Arial"/>
                <w:b/>
                <w:bCs/>
                <w:color w:val="auto"/>
                <w:sz w:val="20"/>
                <w:szCs w:val="20"/>
              </w:rPr>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648,00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w:t>
            </w:r>
          </w:p>
        </w:tc>
        <w:tc>
          <w:tcPr>
            <w:tcW w:w="9623" w:type="dxa"/>
            <w:gridSpan w:val="5"/>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cs="Arial" w:ascii="Arial" w:hAnsi="Arial"/>
                <w:b/>
                <w:bCs/>
                <w:color w:val="auto"/>
                <w:sz w:val="20"/>
                <w:szCs w:val="20"/>
                <w:lang w:eastAsia="lt-LT"/>
              </w:rPr>
              <w:t>Aktyvaus laisvalaikio zona – daugiafunkcė dviračių trasa „Pump track“ įrenginiai</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Rampa. Konsolinė rampa 2,0 m aukščio ir 7 m pločio</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DT-3.1</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24,00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Piraminės kampas. Rampos aukštis 80 cm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DT-3.2</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32,00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30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Bangos posūkis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13,50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Vulkanas. Elemento aukštis 1,2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33,00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Bangų kompleksas. Trys iš eilės einančios bangos, kurių kiekvienos aukštis 40 cm ir iš abiejų pusių eina banguojantys čiuožimo turėklai</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45,00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7.3.7.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Pusrampių piramidės kampas. Elemento aukštis 1,2 m. Briaunos „roll in“ tipo</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DT-3.7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lang w:eastAsia="lt-LT"/>
              </w:rPr>
              <w:t>29,00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1,25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aukštius 90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29,60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7.2.10.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Elipsinė rampa. Rampos aukštis 1,20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85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13,40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80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22,40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55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Pusrampė. Pusrampės aukštis 1,30 m. Bendras ilgis 10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su „Euro gap“. Bangos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22,80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Banga. Bangos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11,00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2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7.3.19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color w:val="auto"/>
                <w:sz w:val="20"/>
                <w:szCs w:val="20"/>
              </w:rPr>
              <w:t>Šuolių rampa. Rampos aukštis 60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DT-3.19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4.7.</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w:t>
            </w:r>
          </w:p>
        </w:tc>
        <w:tc>
          <w:tcPr>
            <w:tcW w:w="8153" w:type="dxa"/>
            <w:gridSpan w:val="4"/>
            <w:tcBorders>
              <w:top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 xml:space="preserve">Aktyvaus laisvalaikio zona – „Skate Plaza“ parkas (09) </w:t>
            </w:r>
            <w:r>
              <w:rPr>
                <w:rFonts w:cs="Arial" w:ascii="Arial" w:hAnsi="Arial"/>
                <w:b w:val="false"/>
                <w:bCs w:val="false"/>
                <w:color w:val="auto"/>
                <w:sz w:val="20"/>
                <w:szCs w:val="20"/>
                <w:lang w:eastAsia="lt-LT"/>
              </w:rPr>
              <w:t>(Elementų važiuojamieji paviršiai skaičiuojami vertikalūs ir horizontalūs)</w:t>
            </w:r>
          </w:p>
        </w:tc>
        <w:tc>
          <w:tcPr>
            <w:tcW w:w="1470" w:type="dxa"/>
            <w:tcBorders>
              <w:top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cs="Arial" w:ascii="Arial" w:hAnsi="Arial"/>
                <w:b/>
                <w:bCs/>
                <w:color w:val="auto"/>
                <w:sz w:val="20"/>
                <w:szCs w:val="20"/>
              </w:rPr>
              <w:t>8.1.</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Betono danga</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p>
            <w:pPr>
              <w:pStyle w:val="Normal"/>
              <w:widowControl w:val="false"/>
              <w:spacing w:before="0" w:after="0"/>
              <w:jc w:val="center"/>
              <w:rPr>
                <w:color w:val="auto"/>
              </w:rPr>
            </w:pPr>
            <w:r>
              <w:rPr>
                <w:rFonts w:cs="Arial" w:ascii="Arial" w:hAnsi="Arial"/>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150 mm betonas C30/37  XC2+XF3, vandens pralaidumo markė W8, šalčio atsparumo markė F150.</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DB-03</w:t>
            </w:r>
          </w:p>
        </w:tc>
        <w:tc>
          <w:tcPr>
            <w:tcW w:w="71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810,00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b w:val="false"/>
                <w:bCs w:val="false"/>
                <w:color w:val="auto"/>
                <w:sz w:val="20"/>
                <w:szCs w:val="20"/>
              </w:rPr>
              <w:t>8.1.2.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left"/>
              <w:rPr>
                <w:color w:val="auto"/>
              </w:rPr>
            </w:pPr>
            <w:r>
              <w:rPr>
                <w:rFonts w:cs="Arial" w:ascii="Arial" w:hAnsi="Arial"/>
                <w:b w:val="false"/>
                <w:bCs w:val="false"/>
                <w:color w:val="auto"/>
                <w:sz w:val="20"/>
                <w:szCs w:val="20"/>
                <w:lang w:eastAsia="lt-LT"/>
              </w:rPr>
              <w:t>8 mm diametro tinklelis betonui sutvirtinti. Akies dydis 150 x150 mm</w:t>
            </w:r>
          </w:p>
        </w:tc>
        <w:tc>
          <w:tcPr>
            <w:tcW w:w="1018" w:type="dxa"/>
            <w:tcBorders>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cs="Arial"/>
                <w:b w:val="false"/>
                <w:bCs w:val="false"/>
                <w:color w:val="auto"/>
                <w:sz w:val="20"/>
                <w:szCs w:val="20"/>
                <w:lang w:eastAsia="lt-LT"/>
              </w:rPr>
            </w:pPr>
            <w:r>
              <w:rPr>
                <w:rFonts w:cs="Arial" w:ascii="Arial" w:hAnsi="Arial"/>
                <w:b w:val="false"/>
                <w:bCs w:val="false"/>
                <w:color w:val="auto"/>
                <w:sz w:val="20"/>
                <w:szCs w:val="20"/>
                <w:lang w:eastAsia="lt-LT"/>
              </w:rPr>
            </w:r>
          </w:p>
        </w:tc>
        <w:tc>
          <w:tcPr>
            <w:tcW w:w="71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m</w:t>
            </w:r>
            <w:r>
              <w:rPr>
                <w:rFonts w:cs="Arial" w:ascii="Arial" w:hAnsi="Arial"/>
                <w:b w:val="false"/>
                <w:bCs w:val="false"/>
                <w:color w:val="auto"/>
                <w:sz w:val="20"/>
                <w:szCs w:val="20"/>
                <w:vertAlign w:val="superscript"/>
                <w:lang w:eastAsia="lt-LT"/>
              </w:rPr>
              <w:t>2</w:t>
            </w:r>
          </w:p>
        </w:tc>
        <w:tc>
          <w:tcPr>
            <w:tcW w:w="1222"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1089,00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lang w:eastAsia="lt-LT"/>
              </w:rPr>
              <w:t>3.4.</w:t>
            </w:r>
          </w:p>
        </w:tc>
      </w:tr>
      <w:tr>
        <w:trPr>
          <w:trHeight w:val="285"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8.2.</w:t>
            </w:r>
          </w:p>
        </w:tc>
        <w:tc>
          <w:tcPr>
            <w:tcW w:w="5201" w:type="dxa"/>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ascii="Arial" w:hAnsi="Arial"/>
                <w:b/>
                <w:bCs/>
                <w:color w:val="000000"/>
                <w:sz w:val="20"/>
                <w:szCs w:val="20"/>
                <w:shd w:fill="auto" w:val="clear"/>
              </w:rPr>
              <w:t xml:space="preserve"> </w:t>
            </w:r>
            <w:r>
              <w:rPr>
                <w:rFonts w:ascii="Arial" w:hAnsi="Arial"/>
                <w:b/>
                <w:bCs/>
                <w:color w:val="000000"/>
                <w:sz w:val="20"/>
                <w:szCs w:val="20"/>
                <w:shd w:fill="auto" w:val="clear"/>
              </w:rPr>
              <w:t>Betono dangos įrengimo pasluoksniai</w:t>
            </w:r>
          </w:p>
        </w:tc>
        <w:tc>
          <w:tcPr>
            <w:tcW w:w="1018"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DT-04</w:t>
            </w:r>
          </w:p>
        </w:tc>
        <w:tc>
          <w:tcPr>
            <w:tcW w:w="712" w:type="dxa"/>
            <w:tcBorders>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000000"/>
                <w:position w:val="0"/>
                <w:sz w:val="20"/>
                <w:sz w:val="20"/>
                <w:szCs w:val="20"/>
                <w:shd w:fill="auto" w:val="clear"/>
                <w:vertAlign w:val="baseline"/>
                <w:lang w:eastAsia="lt-LT"/>
              </w:rPr>
              <w:t>m</w:t>
            </w:r>
            <w:r>
              <w:rPr>
                <w:rFonts w:ascii="Arial" w:hAnsi="Arial"/>
                <w:b/>
                <w:bCs/>
                <w:color w:val="000000"/>
                <w:sz w:val="20"/>
                <w:szCs w:val="20"/>
                <w:shd w:fill="auto" w:val="clear"/>
                <w:vertAlign w:val="superscript"/>
                <w:lang w:eastAsia="lt-LT"/>
              </w:rPr>
              <w:t>2</w:t>
            </w:r>
          </w:p>
        </w:tc>
        <w:tc>
          <w:tcPr>
            <w:tcW w:w="1222"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1089,00</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b/>
                <w:bCs/>
                <w:color w:val="auto"/>
                <w:sz w:val="20"/>
                <w:szCs w:val="20"/>
              </w:rPr>
              <w:t>4.8.</w:t>
            </w:r>
          </w:p>
          <w:p>
            <w:pPr>
              <w:pStyle w:val="Normal"/>
              <w:widowControl w:val="false"/>
              <w:spacing w:before="0" w:after="0"/>
              <w:jc w:val="center"/>
              <w:rPr>
                <w:color w:val="auto"/>
              </w:rPr>
            </w:pPr>
            <w:r>
              <w:rPr>
                <w:rFonts w:cs="Arial" w:ascii="Arial" w:hAnsi="Arial"/>
                <w:b/>
                <w:bCs/>
                <w:color w:val="auto"/>
                <w:sz w:val="20"/>
                <w:szCs w:val="20"/>
              </w:rPr>
              <w:t>3.4.</w:t>
            </w:r>
          </w:p>
        </w:tc>
      </w:tr>
      <w:tr>
        <w:trPr>
          <w:trHeight w:val="285"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9623" w:type="dxa"/>
            <w:gridSpan w:val="5"/>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ascii="Arial" w:hAnsi="Arial"/>
                <w:b w:val="false"/>
                <w:bCs w:val="false"/>
                <w:color w:val="000000"/>
                <w:sz w:val="20"/>
                <w:szCs w:val="20"/>
                <w:shd w:fill="auto" w:val="clear"/>
              </w:rPr>
              <w:t>Viršutinis sluoksnis - DB-03</w:t>
            </w:r>
          </w:p>
        </w:tc>
      </w:tr>
      <w:tr>
        <w:trPr>
          <w:trHeight w:val="285"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8.2.1.</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Žvyro skaldos fr 0 – 45mm arba dolomitinės skaldos sluoksnis fr. 0 – 32mm (150 mm)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165,00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8.2.2.</w:t>
            </w:r>
          </w:p>
        </w:tc>
        <w:tc>
          <w:tcPr>
            <w:tcW w:w="5201" w:type="dxa"/>
            <w:tcBorders>
              <w:top w:val="single" w:sz="4" w:space="0" w:color="000000"/>
              <w:bottom w:val="single" w:sz="4" w:space="0" w:color="000000"/>
              <w:right w:val="single" w:sz="4" w:space="0" w:color="000000"/>
            </w:tcBorders>
            <w:shd w:fill="FFFFFF" w:val="clear"/>
            <w:vAlign w:val="center"/>
          </w:tcPr>
          <w:p>
            <w:pPr>
              <w:pStyle w:val="Paprtekstas"/>
              <w:widowControl w:val="false"/>
              <w:suppressAutoHyphens w:val="true"/>
              <w:bidi w:val="0"/>
              <w:spacing w:lineRule="auto" w:line="276" w:before="0" w:after="120"/>
              <w:ind w:hanging="0"/>
              <w:rPr>
                <w:color w:val="auto"/>
              </w:rPr>
            </w:pPr>
            <w:r>
              <w:rPr>
                <w:rFonts w:eastAsia="Times New Roman" w:cs="Times New Roman"/>
                <w:b w:val="false"/>
                <w:bCs w:val="false"/>
                <w:color w:val="auto"/>
                <w:kern w:val="0"/>
                <w:sz w:val="20"/>
                <w:szCs w:val="20"/>
                <w:lang w:val="lt-LT" w:eastAsia="en-US" w:bidi="ar-SA"/>
              </w:rPr>
              <w:t>Šalčiui atsparus smėlio - žvyro sluoksnis fr. 0 – 32mm (380 mm)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b w:val="false"/>
                <w:bCs w:val="false"/>
                <w:color w:val="auto"/>
                <w:sz w:val="20"/>
                <w:szCs w:val="20"/>
              </w:rPr>
            </w:pPr>
            <w:r>
              <w:rPr>
                <w:rFonts w:ascii="Arial" w:hAnsi="Arial"/>
                <w:b w:val="false"/>
                <w:bCs w:val="false"/>
                <w:color w:val="auto"/>
                <w:sz w:val="20"/>
                <w:szCs w:val="20"/>
              </w:rPr>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position w:val="0"/>
                <w:sz w:val="20"/>
                <w:sz w:val="20"/>
                <w:szCs w:val="20"/>
                <w:shd w:fill="auto" w:val="clear"/>
                <w:vertAlign w:val="baseline"/>
                <w:lang w:eastAsia="lt-LT"/>
              </w:rPr>
              <w:t>m</w:t>
            </w:r>
            <w:r>
              <w:rPr>
                <w:rFonts w:ascii="Arial" w:hAnsi="Arial"/>
                <w:b w:val="false"/>
                <w:bCs w:val="false"/>
                <w:color w:val="000000"/>
                <w:sz w:val="20"/>
                <w:szCs w:val="20"/>
                <w:shd w:fill="auto" w:val="clear"/>
                <w:vertAlign w:val="superscript"/>
                <w:lang w:eastAsia="lt-LT"/>
              </w:rPr>
              <w:t>3</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b w:val="false"/>
                <w:bCs w:val="false"/>
                <w:color w:val="auto"/>
                <w:sz w:val="20"/>
                <w:szCs w:val="20"/>
              </w:rPr>
              <w:t>418,00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b w:val="false"/>
                <w:bCs w:val="false"/>
                <w:color w:val="auto"/>
                <w:sz w:val="20"/>
                <w:szCs w:val="20"/>
              </w:rPr>
              <w:t>3.4.</w:t>
            </w:r>
          </w:p>
        </w:tc>
      </w:tr>
      <w:tr>
        <w:trPr>
          <w:trHeight w:val="249"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ascii="Arial" w:hAnsi="Arial"/>
                <w:b/>
                <w:bCs/>
                <w:color w:val="auto"/>
                <w:sz w:val="20"/>
                <w:szCs w:val="20"/>
              </w:rPr>
              <w:t>8.3.</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rPr>
                <w:color w:val="auto"/>
              </w:rPr>
            </w:pPr>
            <w:r>
              <w:rPr>
                <w:rFonts w:cs="Arial" w:ascii="Arial" w:hAnsi="Arial"/>
                <w:b/>
                <w:bCs/>
                <w:color w:val="auto"/>
                <w:sz w:val="20"/>
                <w:szCs w:val="20"/>
              </w:rPr>
              <w:t>Aktyvaus laisvalaikio zona – „Skate Plaza“ parkas įrenginiai</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rFonts w:ascii="Arial" w:hAnsi="Arial" w:cs="Arial"/>
                <w:b w:val="false"/>
                <w:bCs w:val="false"/>
                <w:color w:val="auto"/>
                <w:sz w:val="20"/>
                <w:szCs w:val="20"/>
              </w:rPr>
            </w:pPr>
            <w:r>
              <w:rPr>
                <w:rFonts w:cs="Arial" w:ascii="Arial" w:hAnsi="Arial"/>
                <w:b w:val="false"/>
                <w:bCs w:val="false"/>
                <w:color w:val="auto"/>
                <w:sz w:val="20"/>
                <w:szCs w:val="20"/>
              </w:rPr>
            </w:r>
          </w:p>
        </w:tc>
      </w:tr>
      <w:tr>
        <w:trPr>
          <w:trHeight w:val="234"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8.3.1.</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lang w:eastAsia="lt-LT"/>
              </w:rPr>
              <w:t>„</w:t>
            </w:r>
            <w:r>
              <w:rPr>
                <w:rFonts w:cs="Arial" w:ascii="Arial" w:hAnsi="Arial"/>
                <w:b w:val="false"/>
                <w:bCs w:val="false"/>
                <w:color w:val="auto"/>
                <w:sz w:val="20"/>
                <w:szCs w:val="20"/>
                <w:lang w:eastAsia="lt-LT"/>
              </w:rPr>
              <w:t>China bank“ pusrampė. Pusrampės aukštis 100 cm</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SPP-3</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24,00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8.3.2.</w:t>
            </w:r>
          </w:p>
        </w:tc>
        <w:tc>
          <w:tcPr>
            <w:tcW w:w="5201"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Rampą susidaro iš 25 cm aukščio balansinio pado, šuolių rampos ir dviejų žemėjančių čiuožimo bortų</w:t>
            </w:r>
          </w:p>
        </w:tc>
        <w:tc>
          <w:tcPr>
            <w:tcW w:w="1018"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SPP-4</w:t>
            </w:r>
          </w:p>
        </w:tc>
        <w:tc>
          <w:tcPr>
            <w:tcW w:w="71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top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18,00</w:t>
            </w:r>
          </w:p>
        </w:tc>
        <w:tc>
          <w:tcPr>
            <w:tcW w:w="1470" w:type="dxa"/>
            <w:tcBorders>
              <w:top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Pole jam“ elementas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319"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ilgis 3,5 m, aukštis 35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Curb“ čiuožimo elementas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A frame“ čiuožimo bortas. Borto bendras ilgis 5,1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 4,0 m, aukštis 30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Kicker“ rampa. Rampos aukštis 35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Banga. Bangos aukštis 45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12,50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Pusrampės aukštis 110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23,00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Piramidės kampas. Elemento aukštis 65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28,00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Pusrampė su piramidės kampu. Pusrampės aukštis 110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35,00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1173"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Du balansiniai padai su 70 cm šuolių tarpu ir vientisu čiuožimo turėklu. Turėklo bendras ilgis 7 m. Balansinių padų aukštis 15 cm. Kiekvieno pado ilgis 3 m, plotis 1,70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SPP-16</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10,00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SPP-17</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6,65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gatvės stiliaus rampa. Rampa susideda iš dviejų laiptų, užvažiavimo ir nuvažiavimo rampų, „Pole jam“, žemėjančių čiuožimo turėklų ir vienu „Kick“ turėklu.</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SPP-18</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46,75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Turėklo ilgis 4,0 m,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SPP-19</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turėklas. Turėklas ilgis 4,0 m, aukštis 40 cm. Vamzdžio diametras 15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SPP-20</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8.3.19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Čiuožimo bortas. Borto aukštis 40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SPP-21</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4,30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31"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8.3.20</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Daugiafunkcė rampa. Rampa su „euro gap“ balansiniu – čiuožimo bortu ir čiuožimo turėklu.</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SPP-22</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16,50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Bank“ čiuožimo rampa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SPP-23</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16,30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w:t>
            </w:r>
            <w:r>
              <w:rPr>
                <w:rFonts w:cs="Arial" w:ascii="Arial" w:hAnsi="Arial"/>
                <w:b w:val="false"/>
                <w:bCs w:val="false"/>
                <w:color w:val="auto"/>
                <w:sz w:val="20"/>
                <w:szCs w:val="20"/>
              </w:rPr>
              <w:t>China bank“ čiuožimo bortas. Borto aukštis 55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SPP-24</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10,30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8.3.23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Šuolių rampa. Rampos aukštis 35 cm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rPr>
              <w:t>SPP-25</w:t>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b w:val="false"/>
                <w:bCs w:val="false"/>
                <w:color w:val="000000"/>
                <w:sz w:val="20"/>
                <w:szCs w:val="20"/>
                <w:shd w:fill="auto" w:val="clear"/>
              </w:rPr>
              <w:t>m</w:t>
            </w:r>
            <w:r>
              <w:rPr>
                <w:rFonts w:ascii="Arial" w:hAnsi="Arial"/>
                <w:b w:val="false"/>
                <w:bCs w:val="false"/>
                <w:color w:val="000000"/>
                <w:sz w:val="20"/>
                <w:szCs w:val="20"/>
                <w:shd w:fill="auto" w:val="clear"/>
                <w:vertAlign w:val="superscript"/>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19,20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4.8.</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9.</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Lauko WC</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9.1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rPr>
                <w:color w:val="auto"/>
              </w:rPr>
            </w:pPr>
            <w:r>
              <w:rPr>
                <w:rFonts w:cs="Arial" w:ascii="Arial" w:hAnsi="Arial"/>
                <w:b w:val="false"/>
                <w:bCs w:val="false"/>
                <w:color w:val="auto"/>
                <w:sz w:val="20"/>
                <w:szCs w:val="20"/>
              </w:rPr>
              <w:t>Modulinis lauko WC</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cs="Arial"/>
                <w:color w:val="auto"/>
                <w:sz w:val="20"/>
                <w:szCs w:val="20"/>
              </w:rPr>
            </w:pPr>
            <w:r>
              <w:rPr>
                <w:rFonts w:cs="Arial" w:ascii="Arial" w:hAnsi="Arial"/>
                <w:color w:val="auto"/>
                <w:sz w:val="20"/>
                <w:szCs w:val="20"/>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cs="Arial" w:ascii="Arial" w:hAnsi="Arial"/>
                <w:color w:val="auto"/>
                <w:sz w:val="20"/>
                <w:szCs w:val="20"/>
                <w:lang w:eastAsia="lt-LT"/>
              </w:rPr>
              <w:t>1</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auto"/>
                <w:sz w:val="20"/>
                <w:szCs w:val="20"/>
                <w:lang w:eastAsia="lt-LT"/>
              </w:rPr>
              <w:t>4.9.</w:t>
            </w:r>
          </w:p>
        </w:tc>
      </w:tr>
      <w:tr>
        <w:trPr>
          <w:trHeight w:val="294" w:hRule="atLeast"/>
        </w:trPr>
        <w:tc>
          <w:tcPr>
            <w:tcW w:w="867" w:type="dxa"/>
            <w:tcBorders>
              <w:left w:val="single" w:sz="4" w:space="0" w:color="000000"/>
              <w:bottom w:val="single" w:sz="4" w:space="0" w:color="000000"/>
              <w:right w:val="single" w:sz="4" w:space="0" w:color="000000"/>
            </w:tcBorders>
            <w:shd w:fill="ABABAB" w:val="clear"/>
            <w:vAlign w:val="center"/>
          </w:tcPr>
          <w:p>
            <w:pPr>
              <w:pStyle w:val="Normal"/>
              <w:widowControl w:val="false"/>
              <w:spacing w:lineRule="auto" w:line="240" w:before="0" w:after="0"/>
              <w:jc w:val="center"/>
              <w:rPr>
                <w:color w:val="auto"/>
              </w:rPr>
            </w:pPr>
            <w:r>
              <w:rPr>
                <w:rFonts w:ascii="Arial" w:hAnsi="Arial"/>
                <w:b/>
                <w:bCs/>
                <w:color w:val="auto"/>
                <w:sz w:val="20"/>
                <w:szCs w:val="20"/>
              </w:rPr>
              <w:t>10.</w:t>
            </w:r>
          </w:p>
        </w:tc>
        <w:tc>
          <w:tcPr>
            <w:tcW w:w="8153" w:type="dxa"/>
            <w:gridSpan w:val="4"/>
            <w:tcBorders>
              <w:bottom w:val="single" w:sz="4" w:space="0" w:color="000000"/>
              <w:right w:val="single" w:sz="4" w:space="0" w:color="000000"/>
            </w:tcBorders>
            <w:shd w:fill="ABABAB" w:val="clear"/>
            <w:vAlign w:val="center"/>
          </w:tcPr>
          <w:p>
            <w:pPr>
              <w:pStyle w:val="Normal"/>
              <w:widowControl w:val="false"/>
              <w:spacing w:lineRule="auto" w:line="240" w:before="0" w:after="0"/>
              <w:jc w:val="left"/>
              <w:rPr>
                <w:color w:val="auto"/>
              </w:rPr>
            </w:pPr>
            <w:r>
              <w:rPr>
                <w:rFonts w:ascii="Arial" w:hAnsi="Arial"/>
                <w:b/>
                <w:bCs/>
                <w:color w:val="auto"/>
                <w:sz w:val="20"/>
                <w:szCs w:val="20"/>
              </w:rPr>
              <w:t>Eismo organizavimas</w:t>
            </w:r>
          </w:p>
        </w:tc>
        <w:tc>
          <w:tcPr>
            <w:tcW w:w="1470" w:type="dxa"/>
            <w:tcBorders>
              <w:bottom w:val="single" w:sz="4" w:space="0" w:color="000000"/>
              <w:right w:val="single" w:sz="4" w:space="0" w:color="000000"/>
            </w:tcBorders>
            <w:shd w:fill="ABABAB" w:val="clear"/>
            <w:vAlign w:val="center"/>
          </w:tcPr>
          <w:p>
            <w:pPr>
              <w:pStyle w:val="Normal"/>
              <w:widowControl w:val="false"/>
              <w:spacing w:before="0" w:after="0"/>
              <w:jc w:val="center"/>
              <w:rPr>
                <w:color w:val="auto"/>
              </w:rPr>
            </w:pPr>
            <w:r>
              <w:rPr>
                <w:rFonts w:cs="Arial" w:ascii="Arial" w:hAnsi="Arial"/>
                <w:color w:val="auto"/>
                <w:sz w:val="20"/>
                <w:szCs w:val="20"/>
                <w:lang w:eastAsia="lt-LT"/>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10.1</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metalinių atramų įrengimas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17,0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Kai kurių atramų galima atsisakyti, gavus Klaipėdos gatvių apšvietimo sutikimo montuoti skydus ant apšvietimo atramų</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10.2</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Kelio ženklų skydų įrengimas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33,0</w:t>
            </w:r>
          </w:p>
        </w:tc>
        <w:tc>
          <w:tcPr>
            <w:tcW w:w="1470"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ascii="Arial" w:hAnsi="Arial"/>
                <w:color w:val="auto"/>
                <w:sz w:val="20"/>
                <w:szCs w:val="20"/>
              </w:rPr>
              <w:t>6.</w:t>
            </w:r>
          </w:p>
          <w:p>
            <w:pPr>
              <w:pStyle w:val="Normal"/>
              <w:widowControl w:val="false"/>
              <w:spacing w:lineRule="auto" w:line="240" w:before="0" w:after="0"/>
              <w:jc w:val="center"/>
              <w:rPr>
                <w:color w:val="auto"/>
              </w:rPr>
            </w:pPr>
            <w:r>
              <w:rPr>
                <w:rFonts w:eastAsia="Calibri" w:cs="Arial" w:ascii="Arial" w:hAnsi="Arial"/>
                <w:color w:val="auto"/>
                <w:kern w:val="2"/>
                <w:sz w:val="16"/>
                <w:szCs w:val="16"/>
                <w:lang w:eastAsia="en-US" w:bidi="ar-SA"/>
              </w:rPr>
              <w:t>0 grupės kelio ženklai</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10.3</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 (linijos plotis 0,12 m) siaura ištisinė linija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21,0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10.4</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1 m / 3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502,0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10.5</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1.5 (linijos plotis 0,12 m) siaura brūkšninė linija, kai brūkšnio ir tarpo santykis 2 m / 6 m</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m</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197,0</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10.6</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1.12 iš trikampių sudaryta linija</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15/2,6</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10.7</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1.23 Dviračio simbolis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22/7,5</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10.8</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1.24 Asmens su negalia simbolis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2/2,8</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r>
        <w:trPr>
          <w:trHeight w:val="294" w:hRule="atLeast"/>
        </w:trPr>
        <w:tc>
          <w:tcPr>
            <w:tcW w:w="867"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ascii="Arial" w:hAnsi="Arial"/>
                <w:color w:val="000000"/>
                <w:sz w:val="20"/>
                <w:szCs w:val="20"/>
                <w:shd w:fill="auto" w:val="clear"/>
              </w:rPr>
              <w:t>10.9</w:t>
            </w:r>
          </w:p>
        </w:tc>
        <w:tc>
          <w:tcPr>
            <w:tcW w:w="5201"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both"/>
              <w:rPr>
                <w:color w:val="auto"/>
              </w:rPr>
            </w:pPr>
            <w:r>
              <w:rPr>
                <w:rFonts w:eastAsia="Calibri" w:cs="Arial" w:ascii="Arial" w:hAnsi="Arial"/>
                <w:color w:val="auto"/>
                <w:kern w:val="2"/>
                <w:sz w:val="20"/>
                <w:szCs w:val="20"/>
                <w:lang w:eastAsia="en-US" w:bidi="ar-SA"/>
              </w:rPr>
              <w:t>Ženklinimo tipas 1.30 Elektromobilio simbolis</w:t>
            </w:r>
          </w:p>
        </w:tc>
        <w:tc>
          <w:tcPr>
            <w:tcW w:w="1018"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rFonts w:ascii="Arial" w:hAnsi="Arial" w:eastAsia="Calibri"/>
                <w:color w:val="auto"/>
                <w:kern w:val="2"/>
                <w:sz w:val="20"/>
                <w:szCs w:val="20"/>
                <w:lang w:eastAsia="en-US" w:bidi="ar-SA"/>
              </w:rPr>
            </w:pPr>
            <w:r>
              <w:rPr>
                <w:rFonts w:eastAsia="Calibri" w:ascii="Arial" w:hAnsi="Arial"/>
                <w:color w:val="auto"/>
                <w:kern w:val="2"/>
                <w:sz w:val="20"/>
                <w:szCs w:val="20"/>
                <w:lang w:eastAsia="en-US" w:bidi="ar-SA"/>
              </w:rPr>
            </w:r>
          </w:p>
        </w:tc>
        <w:tc>
          <w:tcPr>
            <w:tcW w:w="71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vnt./m</w:t>
            </w:r>
            <w:r>
              <w:rPr>
                <w:rFonts w:eastAsia="Calibri" w:cs="Arial" w:ascii="Arial" w:hAnsi="Arial"/>
                <w:color w:val="auto"/>
                <w:kern w:val="2"/>
                <w:sz w:val="20"/>
                <w:szCs w:val="20"/>
                <w:vertAlign w:val="superscript"/>
                <w:lang w:eastAsia="en-US" w:bidi="ar-SA"/>
              </w:rPr>
              <w:t>2</w:t>
            </w:r>
          </w:p>
        </w:tc>
        <w:tc>
          <w:tcPr>
            <w:tcW w:w="1222" w:type="dxa"/>
            <w:tcBorders>
              <w:bottom w:val="single" w:sz="4" w:space="0" w:color="000000"/>
              <w:right w:val="single" w:sz="4" w:space="0" w:color="000000"/>
            </w:tcBorders>
            <w:shd w:fill="FFFFFF" w:val="clear"/>
            <w:vAlign w:val="center"/>
          </w:tcPr>
          <w:p>
            <w:pPr>
              <w:pStyle w:val="Normal"/>
              <w:widowControl w:val="false"/>
              <w:spacing w:lineRule="auto" w:line="240" w:before="0" w:after="0"/>
              <w:jc w:val="center"/>
              <w:rPr>
                <w:color w:val="auto"/>
              </w:rPr>
            </w:pPr>
            <w:r>
              <w:rPr>
                <w:rFonts w:eastAsia="Calibri" w:cs="Arial" w:ascii="Arial" w:hAnsi="Arial"/>
                <w:color w:val="auto"/>
                <w:kern w:val="2"/>
                <w:sz w:val="20"/>
                <w:szCs w:val="20"/>
                <w:lang w:eastAsia="en-US" w:bidi="ar-SA"/>
              </w:rPr>
              <w:t>6/3,2</w:t>
            </w:r>
          </w:p>
        </w:tc>
        <w:tc>
          <w:tcPr>
            <w:tcW w:w="1470" w:type="dxa"/>
            <w:tcBorders>
              <w:bottom w:val="single" w:sz="4" w:space="0" w:color="000000"/>
              <w:right w:val="single" w:sz="4" w:space="0" w:color="000000"/>
            </w:tcBorders>
            <w:shd w:fill="FFFFFF" w:val="clear"/>
            <w:vAlign w:val="center"/>
          </w:tcPr>
          <w:p>
            <w:pPr>
              <w:pStyle w:val="Normal"/>
              <w:widowControl w:val="false"/>
              <w:spacing w:before="0" w:after="0"/>
              <w:jc w:val="center"/>
              <w:rPr>
                <w:color w:val="auto"/>
              </w:rPr>
            </w:pPr>
            <w:r>
              <w:rPr>
                <w:rFonts w:cs="Arial" w:ascii="Arial" w:hAnsi="Arial"/>
                <w:color w:val="000000"/>
                <w:sz w:val="20"/>
                <w:szCs w:val="20"/>
                <w:shd w:fill="auto" w:val="clear"/>
              </w:rPr>
              <w:t>6.</w:t>
            </w:r>
          </w:p>
        </w:tc>
      </w:tr>
    </w:tbl>
    <w:p>
      <w:pPr>
        <w:pStyle w:val="Normal"/>
        <w:spacing w:before="0" w:after="200"/>
        <w:rPr>
          <w:rFonts w:ascii="Arial" w:hAnsi="Arial" w:cs="Arial"/>
          <w:sz w:val="20"/>
          <w:szCs w:val="20"/>
        </w:rPr>
      </w:pPr>
      <w:r>
        <w:rPr>
          <w:rFonts w:cs="Arial" w:ascii="Arial" w:hAnsi="Arial"/>
          <w:sz w:val="20"/>
          <w:szCs w:val="20"/>
        </w:rPr>
      </w:r>
    </w:p>
    <w:p>
      <w:pPr>
        <w:pStyle w:val="Normal"/>
        <w:rPr>
          <w:rFonts w:ascii="Arial" w:hAnsi="Arial"/>
          <w:b/>
          <w:bCs/>
          <w:sz w:val="20"/>
          <w:szCs w:val="20"/>
        </w:rPr>
      </w:pPr>
      <w:r>
        <w:rPr>
          <w:rFonts w:ascii="Arial" w:hAnsi="Arial"/>
          <w:b/>
          <w:bCs/>
          <w:sz w:val="20"/>
          <w:szCs w:val="20"/>
        </w:rPr>
        <w:t>PASTABOS: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1. Sąnaudų žiniaraštį žiūrėti kartu su brėžiniais.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2. 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3. 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4. Rangovas turi įvertinti visus darbus, įrenginius ir medžiagas reikalingas projektui įgyvendinti ir išlaikyti ne prastesnes, nei techninėse specifikacijose numatytus reikalavimus. Nurodyti darbai turi būti įvertinti kompleksiškai, kartu su visais palydinčiais darbais.</w:t>
      </w:r>
    </w:p>
    <w:p>
      <w:pPr>
        <w:pStyle w:val="Normal"/>
        <w:widowControl/>
        <w:suppressAutoHyphens w:val="true"/>
        <w:bidi w:val="0"/>
        <w:spacing w:before="0" w:after="0"/>
        <w:ind w:firstLine="567" w:left="0" w:right="0"/>
        <w:jc w:val="both"/>
        <w:rPr>
          <w:rFonts w:ascii="Arial" w:hAnsi="Arial"/>
          <w:sz w:val="20"/>
          <w:szCs w:val="20"/>
        </w:rPr>
      </w:pPr>
      <w:r>
        <w:rPr>
          <w:rFonts w:ascii="Arial" w:hAnsi="Arial"/>
          <w:sz w:val="20"/>
          <w:szCs w:val="20"/>
        </w:rPr>
        <w:t>5. Statybos metu susidariusios nereikalingos medžiagos (įranga, gruntas, dirvožemis, asfaltas, betonas ir bet kokie kiti elementai) yra Statytojo nuosavybė ir turi būti perduotos jo žinion arba gali būti utilizuotos tik tokiu atveju, jei Statytojas atsisako jas pasilikti.</w:t>
      </w:r>
    </w:p>
    <w:p>
      <w:pPr>
        <w:pStyle w:val="Normal"/>
        <w:suppressAutoHyphens w:val="true"/>
        <w:spacing w:before="0" w:after="0"/>
        <w:ind w:firstLine="567" w:left="0" w:right="0"/>
        <w:jc w:val="both"/>
        <w:rPr>
          <w:rFonts w:ascii="Arial" w:hAnsi="Arial"/>
          <w:sz w:val="20"/>
          <w:szCs w:val="20"/>
        </w:rPr>
      </w:pPr>
      <w:r>
        <w:rPr>
          <w:rFonts w:ascii="Arial" w:hAnsi="Arial"/>
          <w:sz w:val="20"/>
          <w:szCs w:val="20"/>
        </w:rPr>
        <w:t>6. Augalų šaknų sutartiniai žymėjimai: SG - su šaknų gumulu, BG - be šaknų gumulo, Cx - konteineris, kur x žymi tūrį litrais.</w:t>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567" w:gutter="0" w:header="567" w:top="1560"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Cambria">
    <w:charset w:val="ba"/>
    <w:family w:val="roman"/>
    <w:pitch w:val="variable"/>
  </w:font>
  <w:font w:name="Arial">
    <w:charset w:val="ba"/>
    <w:family w:val="swiss"/>
    <w:pitch w:val="variable"/>
  </w:font>
  <w:font w:name="Tahoma">
    <w:charset w:val="ba"/>
    <w:family w:val="roman"/>
    <w:pitch w:val="variable"/>
  </w:font>
  <w:font w:name="ArialMT">
    <w:charset w:val="ba"/>
    <w:family w:val="roman"/>
    <w:pitch w:val="variable"/>
  </w:font>
  <w:font w:name="Liberation Sans">
    <w:altName w:val="Arial"/>
    <w:charset w:val="ba"/>
    <w:family w:val="swiss"/>
    <w:pitch w:val="variable"/>
  </w:font>
  <w:font w:name="Arial">
    <w:altName w:val="sans-serif"/>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101" w:type="dxa"/>
      <w:jc w:val="right"/>
      <w:tblInd w:w="0" w:type="dxa"/>
      <w:tblLayout w:type="fixed"/>
      <w:tblCellMar>
        <w:top w:w="0" w:type="dxa"/>
        <w:left w:w="108" w:type="dxa"/>
        <w:bottom w:w="0" w:type="dxa"/>
        <w:right w:w="108" w:type="dxa"/>
      </w:tblCellMar>
    </w:tblPr>
    <w:tblGrid>
      <w:gridCol w:w="2850"/>
      <w:gridCol w:w="790"/>
      <w:gridCol w:w="734"/>
      <w:gridCol w:w="727"/>
    </w:tblGrid>
    <w:tr>
      <w:trPr>
        <w:trHeight w:val="283" w:hRule="atLeast"/>
      </w:trPr>
      <w:tc>
        <w:tcPr>
          <w:tcW w:w="2850" w:type="dxa"/>
          <w:vMerge w:val="restart"/>
          <w:tcBorders>
            <w:top w:val="single" w:sz="12" w:space="0" w:color="000000"/>
            <w:left w:val="single" w:sz="12" w:space="0" w:color="000000"/>
            <w:bottom w:val="single" w:sz="12" w:space="0" w:color="000000"/>
            <w:right w:val="single" w:sz="4" w:space="0" w:color="000000"/>
          </w:tcBorders>
        </w:tcPr>
        <w:p>
          <w:pPr>
            <w:pStyle w:val="Tvarkingas"/>
            <w:widowControl w:val="false"/>
            <w:spacing w:lineRule="auto" w:line="240" w:before="60" w:after="60"/>
            <w:ind w:hanging="0"/>
            <w:jc w:val="left"/>
            <w:rPr>
              <w:rFonts w:ascii="Arial" w:hAnsi="Arial" w:cs="Arial"/>
              <w:caps/>
              <w:sz w:val="16"/>
              <w:szCs w:val="16"/>
            </w:rPr>
          </w:pPr>
          <w:r>
            <w:rPr>
              <w:rFonts w:cs="Arial" w:ascii="Arial" w:hAnsi="Arial"/>
              <w:caps/>
              <w:sz w:val="16"/>
              <w:szCs w:val="16"/>
            </w:rPr>
            <w:t>Dokumento žymuo</w:t>
          </w:r>
        </w:p>
        <w:p>
          <w:pPr>
            <w:pStyle w:val="Tvarkingas"/>
            <w:widowControl w:val="false"/>
            <w:spacing w:lineRule="auto" w:line="240" w:before="60" w:after="60"/>
            <w:ind w:hanging="0"/>
            <w:jc w:val="left"/>
            <w:rPr>
              <w:shd w:fill="auto" w:val="clear"/>
            </w:rPr>
          </w:pPr>
          <w:r>
            <w:rPr>
              <w:rFonts w:cs="Arial" w:ascii="Arial" w:hAnsi="Arial"/>
              <w:sz w:val="16"/>
              <w:szCs w:val="16"/>
              <w:shd w:fill="auto" w:val="clear"/>
            </w:rPr>
            <w:t>P22-037-KRTP-SP.SKŽ</w:t>
          </w:r>
        </w:p>
      </w:tc>
      <w:tc>
        <w:tcPr>
          <w:tcW w:w="790"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Lapas</w:t>
          </w:r>
        </w:p>
      </w:tc>
      <w:tc>
        <w:tcPr>
          <w:tcW w:w="734" w:type="dxa"/>
          <w:tcBorders>
            <w:top w:val="single" w:sz="12" w:space="0" w:color="000000"/>
            <w:left w:val="single" w:sz="4" w:space="0" w:color="000000"/>
            <w:bottom w:val="single" w:sz="4"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Lapų</w:t>
          </w:r>
        </w:p>
      </w:tc>
      <w:tc>
        <w:tcPr>
          <w:tcW w:w="727" w:type="dxa"/>
          <w:tcBorders>
            <w:top w:val="single" w:sz="12" w:space="0" w:color="000000"/>
            <w:left w:val="single" w:sz="4" w:space="0" w:color="000000"/>
            <w:bottom w:val="single" w:sz="4"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caps/>
              <w:sz w:val="16"/>
              <w:szCs w:val="16"/>
            </w:rPr>
          </w:pPr>
          <w:r>
            <w:rPr>
              <w:rFonts w:cs="Arial" w:ascii="Arial" w:hAnsi="Arial"/>
              <w:caps/>
              <w:sz w:val="16"/>
              <w:szCs w:val="16"/>
            </w:rPr>
            <w:t>Laida</w:t>
          </w:r>
        </w:p>
      </w:tc>
    </w:tr>
    <w:tr>
      <w:trPr>
        <w:trHeight w:val="288" w:hRule="atLeast"/>
      </w:trPr>
      <w:tc>
        <w:tcPr>
          <w:tcW w:w="2850" w:type="dxa"/>
          <w:vMerge w:val="continue"/>
          <w:tcBorders>
            <w:top w:val="single" w:sz="4" w:space="0" w:color="000000"/>
            <w:left w:val="single" w:sz="12" w:space="0" w:color="000000"/>
            <w:bottom w:val="single" w:sz="12" w:space="0" w:color="000000"/>
            <w:right w:val="single" w:sz="4" w:space="0" w:color="000000"/>
          </w:tcBorders>
        </w:tcPr>
        <w:p>
          <w:pPr>
            <w:pStyle w:val="Normal"/>
            <w:widowControl w:val="false"/>
            <w:suppressAutoHyphens w:val="true"/>
            <w:bidi w:val="0"/>
            <w:spacing w:lineRule="auto" w:line="276" w:before="0" w:after="200"/>
            <w:jc w:val="left"/>
            <w:rPr/>
          </w:pPr>
          <w:r>
            <w:rPr/>
          </w:r>
        </w:p>
      </w:tc>
      <w:tc>
        <w:tcPr>
          <w:tcW w:w="790"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PAGE </w:instrText>
          </w:r>
          <w:r>
            <w:rPr>
              <w:sz w:val="16"/>
              <w:szCs w:val="16"/>
              <w:rFonts w:cs="Arial" w:ascii="Arial" w:hAnsi="Arial"/>
            </w:rPr>
            <w:fldChar w:fldCharType="separate"/>
          </w:r>
          <w:r>
            <w:rPr>
              <w:sz w:val="16"/>
              <w:szCs w:val="16"/>
              <w:rFonts w:cs="Arial" w:ascii="Arial" w:hAnsi="Arial"/>
            </w:rPr>
            <w:t>2</w:t>
          </w:r>
          <w:r>
            <w:rPr>
              <w:sz w:val="16"/>
              <w:szCs w:val="16"/>
              <w:rFonts w:cs="Arial" w:ascii="Arial" w:hAnsi="Arial"/>
            </w:rPr>
            <w:fldChar w:fldCharType="end"/>
          </w:r>
        </w:p>
      </w:tc>
      <w:tc>
        <w:tcPr>
          <w:tcW w:w="734" w:type="dxa"/>
          <w:tcBorders>
            <w:top w:val="single" w:sz="4" w:space="0" w:color="000000"/>
            <w:left w:val="single" w:sz="4" w:space="0" w:color="000000"/>
            <w:bottom w:val="single" w:sz="12" w:space="0" w:color="000000"/>
            <w:right w:val="single" w:sz="4"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fldChar w:fldCharType="begin"/>
          </w:r>
          <w:r>
            <w:rPr>
              <w:sz w:val="16"/>
              <w:szCs w:val="16"/>
              <w:rFonts w:cs="Arial" w:ascii="Arial" w:hAnsi="Arial"/>
            </w:rPr>
            <w:instrText xml:space="preserve"> NUMPAGES </w:instrText>
          </w:r>
          <w:r>
            <w:rPr>
              <w:sz w:val="16"/>
              <w:szCs w:val="16"/>
              <w:rFonts w:cs="Arial" w:ascii="Arial" w:hAnsi="Arial"/>
            </w:rPr>
            <w:fldChar w:fldCharType="separate"/>
          </w:r>
          <w:r>
            <w:rPr>
              <w:sz w:val="16"/>
              <w:szCs w:val="16"/>
              <w:rFonts w:cs="Arial" w:ascii="Arial" w:hAnsi="Arial"/>
            </w:rPr>
            <w:t>11</w:t>
          </w:r>
          <w:r>
            <w:rPr>
              <w:sz w:val="16"/>
              <w:szCs w:val="16"/>
              <w:rFonts w:cs="Arial" w:ascii="Arial" w:hAnsi="Arial"/>
            </w:rPr>
            <w:fldChar w:fldCharType="end"/>
          </w:r>
        </w:p>
      </w:tc>
      <w:tc>
        <w:tcPr>
          <w:tcW w:w="727" w:type="dxa"/>
          <w:tcBorders>
            <w:top w:val="single" w:sz="4" w:space="0" w:color="000000"/>
            <w:left w:val="single" w:sz="4" w:space="0" w:color="000000"/>
            <w:bottom w:val="single" w:sz="12" w:space="0" w:color="000000"/>
            <w:right w:val="single" w:sz="12" w:space="0" w:color="000000"/>
          </w:tcBorders>
          <w:vAlign w:val="center"/>
        </w:tcPr>
        <w:p>
          <w:pPr>
            <w:pStyle w:val="Tvarkingas"/>
            <w:widowControl w:val="false"/>
            <w:spacing w:lineRule="auto" w:line="240" w:before="60" w:after="60"/>
            <w:ind w:hanging="0"/>
            <w:jc w:val="center"/>
            <w:rPr>
              <w:rFonts w:ascii="Arial" w:hAnsi="Arial" w:cs="Arial"/>
              <w:sz w:val="16"/>
              <w:szCs w:val="16"/>
            </w:rPr>
          </w:pPr>
          <w:r>
            <w:rPr>
              <w:rFonts w:cs="Arial" w:ascii="Arial" w:hAnsi="Arial"/>
              <w:sz w:val="16"/>
              <w:szCs w:val="16"/>
            </w:rPr>
            <w:t>0</w:t>
          </w:r>
        </w:p>
      </w:tc>
    </w:tr>
  </w:tbl>
  <w:p>
    <w:pPr>
      <w:pStyle w:val="Footer"/>
      <w:spacing w:before="0" w:after="20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0" w:type="dxa"/>
      <w:jc w:val="left"/>
      <w:tblInd w:w="0" w:type="dxa"/>
      <w:tblLayout w:type="fixed"/>
      <w:tblCellMar>
        <w:top w:w="0" w:type="dxa"/>
        <w:left w:w="108" w:type="dxa"/>
        <w:bottom w:w="0" w:type="dxa"/>
        <w:right w:w="108" w:type="dxa"/>
      </w:tblCellMar>
    </w:tblPr>
    <w:tblGrid>
      <w:gridCol w:w="790"/>
      <w:gridCol w:w="1078"/>
      <w:gridCol w:w="2228"/>
      <w:gridCol w:w="948"/>
      <w:gridCol w:w="3615"/>
      <w:gridCol w:w="768"/>
      <w:gridCol w:w="773"/>
    </w:tblGrid>
    <w:tr>
      <w:trPr>
        <w:trHeight w:val="288" w:hRule="atLeast"/>
      </w:trPr>
      <w:tc>
        <w:tcPr>
          <w:tcW w:w="790" w:type="dxa"/>
          <w:tcBorders>
            <w:top w:val="single" w:sz="12"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b/>
            <w:t>0</w:t>
          </w:r>
        </w:p>
      </w:tc>
      <w:tc>
        <w:tcPr>
          <w:tcW w:w="4254" w:type="dxa"/>
          <w:gridSpan w:val="3"/>
          <w:tcBorders>
            <w:top w:val="single" w:sz="12" w:space="0" w:color="000000"/>
            <w:left w:val="single" w:sz="8"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2024-07</w:t>
          </w:r>
        </w:p>
      </w:tc>
      <w:tc>
        <w:tcPr>
          <w:tcW w:w="5156" w:type="dxa"/>
          <w:gridSpan w:val="3"/>
          <w:tcBorders>
            <w:top w:val="single" w:sz="12" w:space="0" w:color="000000"/>
            <w:left w:val="single" w:sz="12"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Statybą leidžiančiam dokumentui, konkursui</w:t>
          </w:r>
        </w:p>
      </w:tc>
    </w:tr>
    <w:tr>
      <w:trPr>
        <w:trHeight w:val="80"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LAIDA</w:t>
          </w:r>
        </w:p>
      </w:tc>
      <w:tc>
        <w:tcPr>
          <w:tcW w:w="4254" w:type="dxa"/>
          <w:gridSpan w:val="3"/>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IŠLEIDIMO DATA</w:t>
          </w:r>
        </w:p>
      </w:tc>
      <w:tc>
        <w:tcPr>
          <w:tcW w:w="5156" w:type="dxa"/>
          <w:gridSpan w:val="3"/>
          <w:tcBorders>
            <w:top w:val="single" w:sz="8" w:space="0" w:color="000000"/>
            <w:left w:val="single" w:sz="12" w:space="0" w:color="000000"/>
            <w:bottom w:val="single" w:sz="12" w:space="0" w:color="000000"/>
            <w:right w:val="single" w:sz="12" w:space="0" w:color="000000"/>
          </w:tcBorders>
          <w:vAlign w:val="center"/>
        </w:tcPr>
        <w:p>
          <w:pPr>
            <w:pStyle w:val="Normal"/>
            <w:widowControl w:val="false"/>
            <w:suppressAutoHyphens w:val="true"/>
            <w:spacing w:lineRule="auto" w:line="240" w:before="0" w:after="0"/>
            <w:jc w:val="left"/>
            <w:rPr>
              <w:lang w:val="lt-LT"/>
            </w:rPr>
          </w:pPr>
          <w:r>
            <w:rPr>
              <w:rFonts w:eastAsia="Calibri" w:cs="Arial" w:ascii="Arial" w:hAnsi="Arial"/>
              <w:kern w:val="0"/>
              <w:sz w:val="16"/>
              <w:szCs w:val="16"/>
              <w:lang w:val="lt-LT" w:eastAsia="en-US" w:bidi="ar-SA"/>
            </w:rPr>
            <w:t>LAIDOS STATUSAS. KEITIMO PRIEŽASTIS (JEI TAIKOMA)</w:t>
          </w:r>
        </w:p>
      </w:tc>
    </w:tr>
    <w:tr>
      <w:trPr>
        <w:trHeight w:val="850" w:hRule="atLeast"/>
      </w:trPr>
      <w:tc>
        <w:tcPr>
          <w:tcW w:w="790" w:type="dxa"/>
          <w:tcBorders>
            <w:top w:val="single" w:sz="12" w:space="0" w:color="000000"/>
            <w:left w:val="single" w:sz="12" w:space="0" w:color="000000"/>
            <w:bottom w:val="single" w:sz="4"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KVAL. PATV. DOK. NR.</w:t>
          </w:r>
        </w:p>
      </w:tc>
      <w:tc>
        <w:tcPr>
          <w:tcW w:w="4254" w:type="dxa"/>
          <w:gridSpan w:val="3"/>
          <w:tcBorders>
            <w:top w:val="single" w:sz="12" w:space="0" w:color="000000"/>
            <w:left w:val="single" w:sz="8" w:space="0" w:color="000000"/>
            <w:bottom w:val="single" w:sz="4"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1" allowOverlap="1" relativeHeight="2">
                <wp:simplePos x="0" y="0"/>
                <wp:positionH relativeFrom="column">
                  <wp:posOffset>1270635</wp:posOffset>
                </wp:positionH>
                <wp:positionV relativeFrom="paragraph">
                  <wp:posOffset>38735</wp:posOffset>
                </wp:positionV>
                <wp:extent cx="1133475" cy="474345"/>
                <wp:effectExtent l="0" t="0" r="0" b="0"/>
                <wp:wrapNone/>
                <wp:docPr id="3"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556333934" descr="A black background with white text&#10;&#10;Description automatically generated"/>
                        <pic:cNvPicPr>
                          <a:picLocks noChangeAspect="1" noChangeArrowheads="1"/>
                        </pic:cNvPicPr>
                      </pic:nvPicPr>
                      <pic:blipFill>
                        <a:blip r:embed="rId1"/>
                        <a:stretch>
                          <a:fillRect/>
                        </a:stretch>
                      </pic:blipFill>
                      <pic:spPr bwMode="auto">
                        <a:xfrm>
                          <a:off x="0" y="0"/>
                          <a:ext cx="1133475" cy="474345"/>
                        </a:xfrm>
                        <a:prstGeom prst="rect">
                          <a:avLst/>
                        </a:prstGeom>
                        <a:noFill/>
                      </pic:spPr>
                    </pic:pic>
                  </a:graphicData>
                </a:graphic>
              </wp:anchor>
            </w:drawing>
          </w:r>
          <w:r>
            <w:rPr>
              <w:rFonts w:eastAsia="Calibri" w:cs="Arial" w:ascii="Arial" w:hAnsi="Arial"/>
              <w:kern w:val="0"/>
              <w:sz w:val="16"/>
              <w:szCs w:val="16"/>
              <w:lang w:val="lt-LT" w:eastAsia="en-US" w:bidi="ar-SA"/>
            </w:rPr>
            <w:t>PROJEKTUOTOJAS</w:t>
          </w:r>
        </w:p>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eastAsia="Calibri" w:cs="Arial" w:ascii="Arial" w:hAnsi="Arial"/>
              <w:kern w:val="0"/>
              <w:sz w:val="16"/>
              <w:szCs w:val="16"/>
              <w:lang w:val="lt-LT" w:eastAsia="en-US" w:bidi="ar-SA"/>
            </w:rPr>
            <w:t>UAB „SRP Projektas“</w:t>
          </w:r>
        </w:p>
      </w:tc>
      <w:tc>
        <w:tcPr>
          <w:tcW w:w="5156" w:type="dxa"/>
          <w:gridSpan w:val="3"/>
          <w:vMerge w:val="restart"/>
          <w:tcBorders>
            <w:top w:val="single" w:sz="12" w:space="0" w:color="000000"/>
            <w:left w:val="single" w:sz="12"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Statinio projekto pavadinimas</w:t>
          </w:r>
        </w:p>
        <w:p>
          <w:pPr>
            <w:pStyle w:val="Tvarkingas"/>
            <w:widowControl w:val="false"/>
            <w:suppressAutoHyphens w:val="true"/>
            <w:spacing w:lineRule="auto" w:line="240" w:before="60" w:after="60"/>
            <w:ind w:hanging="0"/>
            <w:rPr>
              <w:rFonts w:ascii="Arial" w:hAnsi="Arial" w:cs="Arial"/>
              <w:caps/>
              <w:sz w:val="16"/>
              <w:szCs w:val="16"/>
              <w:lang w:val="lt-LT"/>
            </w:rPr>
          </w:pPr>
          <w:r>
            <w:rPr>
              <w:rFonts w:eastAsia="Calibri" w:cs="Arial" w:ascii="Arial" w:hAnsi="Arial"/>
              <w:kern w:val="0"/>
              <w:sz w:val="16"/>
              <w:szCs w:val="16"/>
              <w:lang w:val="lt-LT" w:eastAsia="en-US" w:bidi="ar-SA"/>
            </w:rPr>
            <w:t>Vasaros koncertų estrados ir jos teritorijos, Liepojos g. 1, Klaipėdoje, kapitalinio remonto projektas</w:t>
          </w:r>
        </w:p>
      </w:tc>
    </w:tr>
    <w:tr>
      <w:trPr>
        <w:trHeight w:val="301" w:hRule="atLeast"/>
      </w:trPr>
      <w:tc>
        <w:tcPr>
          <w:tcW w:w="790" w:type="dxa"/>
          <w:tcBorders>
            <w:top w:val="single" w:sz="4"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drawing>
              <wp:anchor behindDoc="1" distT="0" distB="0" distL="0" distR="0" simplePos="0" locked="0" layoutInCell="0" allowOverlap="1" relativeHeight="14">
                <wp:simplePos x="0" y="0"/>
                <wp:positionH relativeFrom="margin">
                  <wp:posOffset>2479675</wp:posOffset>
                </wp:positionH>
                <wp:positionV relativeFrom="paragraph">
                  <wp:posOffset>-43815</wp:posOffset>
                </wp:positionV>
                <wp:extent cx="648970" cy="219075"/>
                <wp:effectExtent l="0" t="0" r="0" b="0"/>
                <wp:wrapSquare wrapText="largest"/>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2"/>
                        <a:stretch>
                          <a:fillRect/>
                        </a:stretch>
                      </pic:blipFill>
                      <pic:spPr bwMode="auto">
                        <a:xfrm>
                          <a:off x="0" y="0"/>
                          <a:ext cx="648970" cy="219075"/>
                        </a:xfrm>
                        <a:prstGeom prst="rect">
                          <a:avLst/>
                        </a:prstGeom>
                        <a:noFill/>
                      </pic:spPr>
                    </pic:pic>
                  </a:graphicData>
                </a:graphic>
              </wp:anchor>
            </w:drawing>
          </w:r>
          <w:r>
            <w:rPr>
              <w:rFonts w:eastAsia="Calibri" w:cs="Arial" w:ascii="Arial" w:hAnsi="Arial"/>
              <w:kern w:val="0"/>
              <w:sz w:val="16"/>
              <w:szCs w:val="16"/>
              <w:lang w:val="lt-LT" w:eastAsia="en-US" w:bidi="ar-SA"/>
            </w:rPr>
            <w:t>A 912</w:t>
          </w:r>
        </w:p>
      </w:tc>
      <w:tc>
        <w:tcPr>
          <w:tcW w:w="1078" w:type="dxa"/>
          <w:tcBorders>
            <w:top w:val="single" w:sz="4"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PV</w:t>
          </w:r>
        </w:p>
      </w:tc>
      <w:tc>
        <w:tcPr>
          <w:tcW w:w="2228" w:type="dxa"/>
          <w:tcBorders>
            <w:top w:val="single" w:sz="4"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Šarūnas Kiaunė</w:t>
          </w:r>
        </w:p>
      </w:tc>
      <w:tc>
        <w:tcPr>
          <w:tcW w:w="948" w:type="dxa"/>
          <w:tcBorders>
            <w:top w:val="single" w:sz="4" w:space="0" w:color="000000"/>
            <w:left w:val="single" w:sz="4"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5156" w:type="dxa"/>
          <w:gridSpan w:val="3"/>
          <w:vMerge w:val="continue"/>
          <w:tcBorders>
            <w:top w:val="single" w:sz="8" w:space="0" w:color="000000"/>
            <w:left w:val="single" w:sz="12" w:space="0" w:color="000000"/>
            <w:bottom w:val="single" w:sz="8" w:space="0" w:color="000000"/>
            <w:right w:val="single" w:sz="12" w:space="0" w:color="000000"/>
          </w:tcBorders>
        </w:tcPr>
        <w:p>
          <w:pPr>
            <w:pStyle w:val="Normal"/>
            <w:widowControl w:val="false"/>
            <w:suppressAutoHyphens w:val="true"/>
            <w:bidi w:val="0"/>
            <w:spacing w:lineRule="auto" w:line="276" w:before="0" w:after="200"/>
            <w:jc w:val="left"/>
            <w:rPr/>
          </w:pPr>
          <w:r>
            <w:rPr/>
          </w:r>
        </w:p>
      </w:tc>
    </w:tr>
    <w:tr>
      <w:trPr>
        <w:trHeight w:val="339" w:hRule="atLeast"/>
      </w:trPr>
      <w:tc>
        <w:tcPr>
          <w:tcW w:w="790" w:type="dxa"/>
          <w:tcBorders>
            <w:top w:val="single" w:sz="8" w:space="0" w:color="000000"/>
            <w:left w:val="single" w:sz="12" w:space="0" w:color="000000"/>
            <w:bottom w:val="single" w:sz="8" w:space="0" w:color="000000"/>
            <w:right w:val="single" w:sz="8" w:space="0" w:color="000000"/>
          </w:tcBorders>
          <w:vAlign w:val="center"/>
        </w:tcPr>
        <w:p>
          <w:pPr>
            <w:pStyle w:val="Tvarkingas"/>
            <w:widowControl w:val="false"/>
            <w:suppressAutoHyphens w:val="true"/>
            <w:spacing w:lineRule="auto" w:line="240" w:before="60" w:after="60"/>
            <w:ind w:hanging="0"/>
            <w:jc w:val="left"/>
            <w:rPr>
              <w:shd w:fill="auto" w:val="clear"/>
            </w:rPr>
          </w:pPr>
          <w:r>
            <w:drawing>
              <wp:anchor behindDoc="1" distT="0" distB="0" distL="0" distR="0" simplePos="0" locked="0" layoutInCell="0" allowOverlap="1" relativeHeight="15">
                <wp:simplePos x="0" y="0"/>
                <wp:positionH relativeFrom="margin">
                  <wp:posOffset>2600960</wp:posOffset>
                </wp:positionH>
                <wp:positionV relativeFrom="paragraph">
                  <wp:posOffset>-78740</wp:posOffset>
                </wp:positionV>
                <wp:extent cx="466090" cy="344170"/>
                <wp:effectExtent l="0" t="0" r="0" b="0"/>
                <wp:wrapSquare wrapText="largest"/>
                <wp:docPr id="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pic:cNvPicPr>
                          <a:picLocks noChangeAspect="1" noChangeArrowheads="1"/>
                        </pic:cNvPicPr>
                      </pic:nvPicPr>
                      <pic:blipFill>
                        <a:blip r:embed="rId3"/>
                        <a:stretch>
                          <a:fillRect/>
                        </a:stretch>
                      </pic:blipFill>
                      <pic:spPr bwMode="auto">
                        <a:xfrm>
                          <a:off x="0" y="0"/>
                          <a:ext cx="466090" cy="344170"/>
                        </a:xfrm>
                        <a:prstGeom prst="rect">
                          <a:avLst/>
                        </a:prstGeom>
                        <a:noFill/>
                      </pic:spPr>
                    </pic:pic>
                  </a:graphicData>
                </a:graphic>
              </wp:anchor>
            </w:drawing>
          </w:r>
          <w:r>
            <w:rPr>
              <w:rFonts w:eastAsia="Calibri" w:cs="Arial" w:ascii="Arial" w:hAnsi="Arial"/>
              <w:kern w:val="0"/>
              <w:sz w:val="16"/>
              <w:szCs w:val="16"/>
              <w:shd w:fill="auto" w:val="clear"/>
              <w:lang w:val="lt-LT" w:eastAsia="en-US" w:bidi="ar-SA"/>
            </w:rPr>
            <w:t>A 774</w:t>
          </w:r>
        </w:p>
      </w:tc>
      <w:tc>
        <w:tcPr>
          <w:tcW w:w="1078" w:type="dxa"/>
          <w:tcBorders>
            <w:top w:val="single" w:sz="8" w:space="0" w:color="000000"/>
            <w:left w:val="single" w:sz="8"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PDV</w:t>
          </w:r>
        </w:p>
      </w:tc>
      <w:tc>
        <w:tcPr>
          <w:tcW w:w="2228" w:type="dxa"/>
          <w:tcBorders>
            <w:top w:val="single" w:sz="8" w:space="0" w:color="000000"/>
            <w:left w:val="single" w:sz="4" w:space="0" w:color="000000"/>
            <w:bottom w:val="single" w:sz="8" w:space="0" w:color="000000"/>
            <w:right w:val="single" w:sz="4" w:space="0" w:color="000000"/>
          </w:tcBorders>
          <w:vAlign w:val="center"/>
        </w:tcPr>
        <w:p>
          <w:pPr>
            <w:pStyle w:val="Tvarkingas"/>
            <w:widowControl w:val="false"/>
            <w:suppressAutoHyphens w:val="true"/>
            <w:spacing w:lineRule="auto" w:line="240" w:before="60" w:after="60"/>
            <w:ind w:hanging="0"/>
            <w:jc w:val="left"/>
            <w:rPr>
              <w:shd w:fill="auto" w:val="clear"/>
            </w:rPr>
          </w:pPr>
          <w:r>
            <w:rPr>
              <w:rFonts w:eastAsia="Calibri" w:cs="Arial" w:ascii="Arial" w:hAnsi="Arial"/>
              <w:kern w:val="0"/>
              <w:sz w:val="16"/>
              <w:szCs w:val="16"/>
              <w:shd w:fill="auto" w:val="clear"/>
              <w:lang w:val="lt-LT" w:eastAsia="en-US" w:bidi="ar-SA"/>
            </w:rPr>
            <w:t>Asta Kiaunienė</w:t>
          </w:r>
        </w:p>
      </w:tc>
      <w:tc>
        <w:tcPr>
          <w:tcW w:w="948" w:type="dxa"/>
          <w:tcBorders>
            <w:top w:val="single" w:sz="8" w:space="0" w:color="000000"/>
            <w:left w:val="single" w:sz="4" w:space="0" w:color="000000"/>
            <w:bottom w:val="single" w:sz="8"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color w:val="0070C0"/>
              <w:sz w:val="16"/>
              <w:szCs w:val="16"/>
              <w:lang w:val="lt-LT"/>
            </w:rPr>
          </w:pPr>
          <w:r>
            <w:rPr>
              <w:rFonts w:cs="Arial" w:ascii="Arial" w:hAnsi="Arial"/>
              <w:color w:val="0070C0"/>
              <w:sz w:val="16"/>
              <w:szCs w:val="16"/>
              <w:lang w:val="lt-LT"/>
            </w:rPr>
          </w:r>
        </w:p>
      </w:tc>
      <w:tc>
        <w:tcPr>
          <w:tcW w:w="4383" w:type="dxa"/>
          <w:gridSpan w:val="2"/>
          <w:vMerge w:val="restart"/>
          <w:tcBorders>
            <w:top w:val="single" w:sz="8"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pavadinimas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Sąnaudų kiekių žiniaraštis</w:t>
          </w:r>
        </w:p>
      </w:tc>
      <w:tc>
        <w:tcPr>
          <w:tcW w:w="773" w:type="dxa"/>
          <w:tcBorders>
            <w:top w:val="single" w:sz="8"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Laida</w:t>
          </w:r>
        </w:p>
      </w:tc>
    </w:tr>
    <w:tr>
      <w:trPr>
        <w:trHeight w:val="288" w:hRule="atLeast"/>
      </w:trPr>
      <w:tc>
        <w:tcPr>
          <w:tcW w:w="790" w:type="dxa"/>
          <w:tcBorders>
            <w:top w:val="single" w:sz="8" w:space="0" w:color="000000"/>
            <w:left w:val="single" w:sz="12"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drawing>
              <wp:anchor behindDoc="1" distT="0" distB="0" distL="0" distR="0" simplePos="0" locked="0" layoutInCell="0" allowOverlap="1" relativeHeight="16">
                <wp:simplePos x="0" y="0"/>
                <wp:positionH relativeFrom="margin">
                  <wp:posOffset>2600960</wp:posOffset>
                </wp:positionH>
                <wp:positionV relativeFrom="paragraph">
                  <wp:posOffset>-73660</wp:posOffset>
                </wp:positionV>
                <wp:extent cx="466090" cy="400685"/>
                <wp:effectExtent l="0" t="0" r="0" b="0"/>
                <wp:wrapSquare wrapText="largest"/>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4"/>
                        <a:stretch>
                          <a:fillRect/>
                        </a:stretch>
                      </pic:blipFill>
                      <pic:spPr bwMode="auto">
                        <a:xfrm>
                          <a:off x="0" y="0"/>
                          <a:ext cx="466090" cy="400685"/>
                        </a:xfrm>
                        <a:prstGeom prst="rect">
                          <a:avLst/>
                        </a:prstGeom>
                        <a:noFill/>
                      </pic:spPr>
                    </pic:pic>
                  </a:graphicData>
                </a:graphic>
              </wp:anchor>
            </w:drawing>
          </w:r>
        </w:p>
      </w:tc>
      <w:tc>
        <w:tcPr>
          <w:tcW w:w="1078" w:type="dxa"/>
          <w:tcBorders>
            <w:top w:val="single" w:sz="8" w:space="0" w:color="000000"/>
            <w:left w:val="single" w:sz="8"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Arch.</w:t>
          </w:r>
        </w:p>
      </w:tc>
      <w:tc>
        <w:tcPr>
          <w:tcW w:w="2228" w:type="dxa"/>
          <w:tcBorders>
            <w:top w:val="single" w:sz="8" w:space="0" w:color="000000"/>
            <w:left w:val="single" w:sz="4" w:space="0" w:color="000000"/>
            <w:bottom w:val="single" w:sz="12" w:space="0" w:color="000000"/>
            <w:right w:val="single" w:sz="4"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Gintarė Marozaitė</w:t>
          </w:r>
        </w:p>
      </w:tc>
      <w:tc>
        <w:tcPr>
          <w:tcW w:w="948" w:type="dxa"/>
          <w:tcBorders>
            <w:top w:val="single" w:sz="8" w:space="0" w:color="000000"/>
            <w:left w:val="single" w:sz="4"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cs="Arial" w:ascii="Arial" w:hAnsi="Arial"/>
              <w:sz w:val="16"/>
              <w:szCs w:val="16"/>
              <w:lang w:val="lt-LT"/>
            </w:rPr>
          </w:r>
        </w:p>
      </w:tc>
      <w:tc>
        <w:tcPr>
          <w:tcW w:w="4383" w:type="dxa"/>
          <w:gridSpan w:val="2"/>
          <w:vMerge w:val="continue"/>
          <w:tcBorders>
            <w:top w:val="single" w:sz="8" w:space="0" w:color="000000"/>
            <w:left w:val="single" w:sz="8"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773" w:type="dxa"/>
          <w:tcBorders>
            <w:top w:val="single" w:sz="8" w:space="0" w:color="000000"/>
            <w:left w:val="single" w:sz="8" w:space="0" w:color="000000"/>
            <w:bottom w:val="single" w:sz="12"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0</w:t>
          </w:r>
        </w:p>
      </w:tc>
    </w:tr>
    <w:tr>
      <w:trPr>
        <w:trHeight w:val="288" w:hRule="atLeast"/>
      </w:trPr>
      <w:tc>
        <w:tcPr>
          <w:tcW w:w="790"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center"/>
            <w:rPr>
              <w:rFonts w:ascii="Arial" w:hAnsi="Arial" w:cs="Arial"/>
              <w:caps/>
              <w:sz w:val="16"/>
              <w:szCs w:val="16"/>
              <w:lang w:val="lt-LT"/>
            </w:rPr>
          </w:pPr>
          <w:r>
            <w:rPr>
              <w:rFonts w:eastAsia="Calibri" w:cs="Arial" w:ascii="Arial" w:hAnsi="Arial"/>
              <w:caps/>
              <w:kern w:val="0"/>
              <w:sz w:val="16"/>
              <w:szCs w:val="16"/>
              <w:lang w:val="lt-LT" w:eastAsia="en-US" w:bidi="ar-SA"/>
            </w:rPr>
            <w:t>Kalba</w:t>
          </w:r>
        </w:p>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lt-LT" w:eastAsia="en-US" w:bidi="ar-SA"/>
            </w:rPr>
            <w:t>LT</w:t>
          </w:r>
        </w:p>
      </w:tc>
      <w:tc>
        <w:tcPr>
          <w:tcW w:w="4254" w:type="dxa"/>
          <w:gridSpan w:val="3"/>
          <w:vMerge w:val="restart"/>
          <w:tcBorders>
            <w:top w:val="single" w:sz="12" w:space="0" w:color="000000"/>
            <w:left w:val="single" w:sz="8" w:space="0" w:color="000000"/>
            <w:bottom w:val="single" w:sz="12" w:space="0" w:color="000000"/>
            <w:right w:val="single" w:sz="12" w:space="0" w:color="000000"/>
          </w:tcBorders>
        </w:tcPr>
        <w:p>
          <w:pPr>
            <w:pStyle w:val="Tvarkingas"/>
            <w:widowControl w:val="false"/>
            <w:numPr>
              <w:ilvl w:val="0"/>
              <w:numId w:val="0"/>
            </w:numPr>
            <w:suppressAutoHyphens w:val="true"/>
            <w:spacing w:lineRule="auto" w:line="240" w:before="60" w:after="60"/>
            <w:ind w:hanging="0" w:left="0"/>
            <w:jc w:val="left"/>
            <w:outlineLvl w:val="0"/>
            <w:rPr>
              <w:rFonts w:ascii="Arial" w:hAnsi="Arial" w:cs="Arial"/>
              <w:caps/>
              <w:sz w:val="16"/>
              <w:szCs w:val="16"/>
              <w:lang w:val="lt-LT"/>
            </w:rPr>
          </w:pPr>
          <w:r>
            <w:rPr>
              <w:rFonts w:eastAsia="Calibri" w:cs="Arial" w:ascii="Arial" w:hAnsi="Arial"/>
              <w:caps/>
              <w:kern w:val="0"/>
              <w:sz w:val="16"/>
              <w:szCs w:val="16"/>
              <w:lang w:val="lt-LT" w:eastAsia="en-US" w:bidi="ar-SA"/>
            </w:rPr>
            <w:t>Statytojas IR (AR) Užsakovas</w:t>
          </w:r>
        </w:p>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kern w:val="0"/>
              <w:sz w:val="16"/>
              <w:szCs w:val="16"/>
              <w:lang w:val="lt-LT" w:eastAsia="en-US" w:bidi="ar-SA"/>
            </w:rPr>
            <w:t>Klaipėdos miesto savivaldybė</w:t>
          </w:r>
        </w:p>
      </w:tc>
      <w:tc>
        <w:tcPr>
          <w:tcW w:w="3615" w:type="dxa"/>
          <w:vMerge w:val="restart"/>
          <w:tcBorders>
            <w:top w:val="single" w:sz="12" w:space="0" w:color="000000"/>
            <w:left w:val="single" w:sz="12" w:space="0" w:color="000000"/>
            <w:bottom w:val="single" w:sz="12"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caps/>
              <w:sz w:val="16"/>
              <w:szCs w:val="16"/>
              <w:lang w:val="lt-LT"/>
            </w:rPr>
          </w:pPr>
          <w:r>
            <w:rPr>
              <w:rFonts w:eastAsia="Calibri" w:cs="Arial" w:ascii="Arial" w:hAnsi="Arial"/>
              <w:caps/>
              <w:kern w:val="0"/>
              <w:sz w:val="16"/>
              <w:szCs w:val="16"/>
              <w:lang w:val="lt-LT" w:eastAsia="en-US" w:bidi="ar-SA"/>
            </w:rPr>
            <w:t>Dokumento žymuo</w:t>
          </w:r>
        </w:p>
        <w:p>
          <w:pPr>
            <w:pStyle w:val="Tvarkingas"/>
            <w:widowControl w:val="false"/>
            <w:suppressAutoHyphens w:val="true"/>
            <w:spacing w:lineRule="auto" w:line="240" w:before="60" w:after="60"/>
            <w:ind w:hanging="0"/>
            <w:jc w:val="left"/>
            <w:rPr>
              <w:color w:val="auto"/>
              <w:shd w:fill="auto" w:val="clear"/>
            </w:rPr>
          </w:pPr>
          <w:r>
            <w:rPr>
              <w:rFonts w:eastAsia="Calibri" w:cs="Arial" w:ascii="Arial" w:hAnsi="Arial"/>
              <w:color w:val="000000"/>
              <w:kern w:val="0"/>
              <w:sz w:val="16"/>
              <w:szCs w:val="16"/>
              <w:shd w:fill="auto" w:val="clear"/>
              <w:lang w:val="lt-LT" w:eastAsia="en-US" w:bidi="ar-SA"/>
            </w:rPr>
            <w:t>P22-037-KRTP-</w:t>
          </w:r>
          <w:r>
            <w:rPr>
              <w:rFonts w:eastAsia="Calibri" w:cs="Arial" w:ascii="Arial" w:hAnsi="Arial"/>
              <w:color w:val="000000"/>
              <w:kern w:val="0"/>
              <w:sz w:val="16"/>
              <w:szCs w:val="16"/>
              <w:shd w:fill="auto" w:val="clear"/>
              <w:lang w:val="en-US" w:eastAsia="en-US" w:bidi="ar-SA"/>
            </w:rPr>
            <w:t>SP</w:t>
          </w:r>
          <w:r>
            <w:rPr>
              <w:rFonts w:eastAsia="Calibri" w:cs="Arial" w:ascii="Arial" w:hAnsi="Arial"/>
              <w:color w:val="000000"/>
              <w:kern w:val="0"/>
              <w:sz w:val="16"/>
              <w:szCs w:val="16"/>
              <w:shd w:fill="auto" w:val="clear"/>
              <w:lang w:val="lt-LT" w:eastAsia="en-US" w:bidi="ar-SA"/>
            </w:rPr>
            <w:t>.SKŽ</w:t>
          </w:r>
        </w:p>
      </w:tc>
      <w:tc>
        <w:tcPr>
          <w:tcW w:w="768" w:type="dxa"/>
          <w:tcBorders>
            <w:top w:val="single" w:sz="12" w:space="0" w:color="000000"/>
            <w:left w:val="single" w:sz="8" w:space="0" w:color="000000"/>
            <w:bottom w:val="single" w:sz="8" w:space="0" w:color="000000"/>
            <w:right w:val="single" w:sz="8" w:space="0" w:color="000000"/>
          </w:tcBorders>
        </w:tcPr>
        <w:p>
          <w:pPr>
            <w:pStyle w:val="Tvarkingas"/>
            <w:widowControl w:val="false"/>
            <w:suppressAutoHyphens w:val="true"/>
            <w:spacing w:lineRule="auto" w:line="240" w:before="60" w:after="60"/>
            <w:ind w:hanging="0"/>
            <w:jc w:val="left"/>
            <w:rPr>
              <w:rFonts w:ascii="Arial" w:hAnsi="Arial" w:cs="Arial"/>
              <w:sz w:val="16"/>
              <w:szCs w:val="16"/>
              <w:lang w:val="lt-LT"/>
            </w:rPr>
          </w:pPr>
          <w:r>
            <w:rPr>
              <w:rFonts w:eastAsia="Calibri" w:cs="Arial" w:ascii="Arial" w:hAnsi="Arial"/>
              <w:caps/>
              <w:kern w:val="0"/>
              <w:sz w:val="16"/>
              <w:szCs w:val="16"/>
              <w:lang w:val="lt-LT" w:eastAsia="en-US" w:bidi="ar-SA"/>
            </w:rPr>
            <w:t>Lapas</w:t>
          </w:r>
        </w:p>
      </w:tc>
      <w:tc>
        <w:tcPr>
          <w:tcW w:w="773" w:type="dxa"/>
          <w:tcBorders>
            <w:top w:val="single" w:sz="12" w:space="0" w:color="000000"/>
            <w:left w:val="single" w:sz="8" w:space="0" w:color="000000"/>
            <w:bottom w:val="single" w:sz="8" w:space="0" w:color="000000"/>
            <w:right w:val="single" w:sz="12" w:space="0" w:color="000000"/>
          </w:tcBorders>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caps/>
              <w:kern w:val="0"/>
              <w:sz w:val="16"/>
              <w:szCs w:val="16"/>
              <w:lang w:val="lt-LT" w:eastAsia="en-US" w:bidi="ar-SA"/>
            </w:rPr>
            <w:t>Lapų</w:t>
          </w:r>
        </w:p>
      </w:tc>
    </w:tr>
    <w:tr>
      <w:trPr>
        <w:trHeight w:val="288" w:hRule="atLeast"/>
      </w:trPr>
      <w:tc>
        <w:tcPr>
          <w:tcW w:w="790" w:type="dxa"/>
          <w:vMerge w:val="continue"/>
          <w:tcBorders>
            <w:top w:val="single" w:sz="12" w:space="0" w:color="000000"/>
            <w:left w:val="single" w:sz="12" w:space="0" w:color="000000"/>
            <w:bottom w:val="single" w:sz="12" w:space="0" w:color="000000"/>
            <w:right w:val="single" w:sz="8" w:space="0" w:color="000000"/>
          </w:tcBorders>
          <w:vAlign w:val="center"/>
        </w:tcPr>
        <w:p>
          <w:pPr>
            <w:pStyle w:val="Normal"/>
            <w:widowControl w:val="false"/>
            <w:suppressAutoHyphens w:val="true"/>
            <w:bidi w:val="0"/>
            <w:spacing w:lineRule="auto" w:line="276" w:before="0" w:after="200"/>
            <w:jc w:val="left"/>
            <w:rPr/>
          </w:pPr>
          <w:r>
            <w:rPr/>
          </w:r>
        </w:p>
      </w:tc>
      <w:tc>
        <w:tcPr>
          <w:tcW w:w="4254" w:type="dxa"/>
          <w:gridSpan w:val="3"/>
          <w:vMerge w:val="continue"/>
          <w:tcBorders>
            <w:top w:val="single" w:sz="12" w:space="0" w:color="000000"/>
            <w:left w:val="single" w:sz="8" w:space="0" w:color="000000"/>
            <w:bottom w:val="single" w:sz="12" w:space="0" w:color="000000"/>
            <w:right w:val="single" w:sz="12" w:space="0" w:color="000000"/>
          </w:tcBorders>
          <w:vAlign w:val="center"/>
        </w:tcPr>
        <w:p>
          <w:pPr>
            <w:pStyle w:val="Normal"/>
            <w:widowControl w:val="false"/>
            <w:suppressAutoHyphens w:val="true"/>
            <w:bidi w:val="0"/>
            <w:spacing w:lineRule="auto" w:line="276" w:before="0" w:after="200"/>
            <w:jc w:val="left"/>
            <w:rPr/>
          </w:pPr>
          <w:r>
            <w:rPr/>
          </w:r>
        </w:p>
      </w:tc>
      <w:tc>
        <w:tcPr>
          <w:tcW w:w="3615" w:type="dxa"/>
          <w:vMerge w:val="continue"/>
          <w:tcBorders>
            <w:top w:val="single" w:sz="12" w:space="0" w:color="000000"/>
            <w:left w:val="single" w:sz="12" w:space="0" w:color="000000"/>
            <w:bottom w:val="single" w:sz="12" w:space="0" w:color="000000"/>
            <w:right w:val="single" w:sz="8" w:space="0" w:color="000000"/>
          </w:tcBorders>
        </w:tcPr>
        <w:p>
          <w:pPr>
            <w:pStyle w:val="Normal"/>
            <w:widowControl w:val="false"/>
            <w:suppressAutoHyphens w:val="true"/>
            <w:bidi w:val="0"/>
            <w:spacing w:lineRule="auto" w:line="276" w:before="0" w:after="200"/>
            <w:jc w:val="left"/>
            <w:rPr/>
          </w:pPr>
          <w:r>
            <w:rPr/>
          </w:r>
        </w:p>
      </w:tc>
      <w:tc>
        <w:tcPr>
          <w:tcW w:w="768" w:type="dxa"/>
          <w:tcBorders>
            <w:top w:val="single" w:sz="8" w:space="0" w:color="000000"/>
            <w:left w:val="single" w:sz="8" w:space="0" w:color="000000"/>
            <w:bottom w:val="single" w:sz="12" w:space="0" w:color="000000"/>
            <w:right w:val="single" w:sz="8" w:space="0" w:color="000000"/>
          </w:tcBorders>
          <w:vAlign w:val="center"/>
        </w:tcPr>
        <w:p>
          <w:pPr>
            <w:pStyle w:val="Tvarkingas"/>
            <w:widowControl w:val="false"/>
            <w:suppressAutoHyphens w:val="true"/>
            <w:spacing w:lineRule="auto" w:line="240" w:before="60" w:after="60"/>
            <w:ind w:hanging="0"/>
            <w:jc w:val="center"/>
            <w:rPr>
              <w:rFonts w:ascii="Arial" w:hAnsi="Arial" w:cs="Arial"/>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PAGE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w:t>
          </w:r>
          <w:r>
            <w:rPr>
              <w:sz w:val="16"/>
              <w:kern w:val="0"/>
              <w:szCs w:val="16"/>
              <w:rFonts w:eastAsia="Calibri" w:cs="Arial" w:ascii="Arial" w:hAnsi="Arial"/>
              <w:lang w:val="en-US" w:eastAsia="en-US" w:bidi="ar-SA"/>
            </w:rPr>
            <w:fldChar w:fldCharType="end"/>
          </w:r>
        </w:p>
      </w:tc>
      <w:tc>
        <w:tcPr>
          <w:tcW w:w="773" w:type="dxa"/>
          <w:tcBorders>
            <w:top w:val="single" w:sz="8" w:space="0" w:color="000000"/>
            <w:left w:val="single" w:sz="8" w:space="0" w:color="000000"/>
            <w:bottom w:val="single" w:sz="12" w:space="0" w:color="000000"/>
            <w:right w:val="single" w:sz="12" w:space="0" w:color="000000"/>
          </w:tcBorders>
          <w:vAlign w:val="center"/>
        </w:tcPr>
        <w:p>
          <w:pPr>
            <w:pStyle w:val="Tvarkingas"/>
            <w:widowControl w:val="false"/>
            <w:suppressAutoHyphens w:val="true"/>
            <w:spacing w:lineRule="auto" w:line="240" w:before="60" w:after="60"/>
            <w:ind w:hanging="0"/>
            <w:jc w:val="center"/>
            <w:rPr>
              <w:rFonts w:ascii="Arial" w:hAnsi="Arial" w:cs="Arial"/>
              <w:color w:val="0070C0"/>
              <w:sz w:val="16"/>
              <w:szCs w:val="16"/>
              <w:lang w:val="lt-LT"/>
            </w:rPr>
          </w:pPr>
          <w:r>
            <w:rPr>
              <w:rFonts w:eastAsia="Calibri" w:cs="Arial" w:ascii="Arial" w:hAnsi="Arial"/>
              <w:kern w:val="0"/>
              <w:sz w:val="16"/>
              <w:szCs w:val="16"/>
              <w:lang w:val="en-US" w:eastAsia="en-US" w:bidi="ar-SA"/>
            </w:rPr>
            <w:fldChar w:fldCharType="begin"/>
          </w:r>
          <w:r>
            <w:rPr>
              <w:sz w:val="16"/>
              <w:kern w:val="0"/>
              <w:szCs w:val="16"/>
              <w:rFonts w:eastAsia="Calibri" w:cs="Arial" w:ascii="Arial" w:hAnsi="Arial"/>
              <w:lang w:val="en-US" w:eastAsia="en-US" w:bidi="ar-SA"/>
            </w:rPr>
            <w:instrText xml:space="preserve"> NUMPAGES </w:instrText>
          </w:r>
          <w:r>
            <w:rPr>
              <w:sz w:val="16"/>
              <w:kern w:val="0"/>
              <w:szCs w:val="16"/>
              <w:rFonts w:eastAsia="Calibri" w:cs="Arial" w:ascii="Arial" w:hAnsi="Arial"/>
              <w:lang w:val="en-US" w:eastAsia="en-US" w:bidi="ar-SA"/>
            </w:rPr>
            <w:fldChar w:fldCharType="separate"/>
          </w:r>
          <w:r>
            <w:rPr>
              <w:sz w:val="16"/>
              <w:kern w:val="0"/>
              <w:szCs w:val="16"/>
              <w:rFonts w:eastAsia="Calibri" w:cs="Arial" w:ascii="Arial" w:hAnsi="Arial"/>
              <w:lang w:val="en-US" w:eastAsia="en-US" w:bidi="ar-SA"/>
            </w:rPr>
            <w:t>11</w:t>
          </w:r>
          <w:r>
            <w:rPr>
              <w:sz w:val="16"/>
              <w:kern w:val="0"/>
              <w:szCs w:val="16"/>
              <w:rFonts w:eastAsia="Calibri" w:cs="Arial" w:ascii="Arial" w:hAnsi="Arial"/>
              <w:lang w:val="en-US" w:eastAsia="en-US" w:bidi="ar-SA"/>
            </w:rPr>
            <w:fldChar w:fldCharType="end"/>
          </w:r>
        </w:p>
      </w:tc>
    </w:tr>
  </w:tbl>
  <w:p>
    <w:pPr>
      <w:pStyle w:val="Footer"/>
      <w:spacing w:before="0" w:after="20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0" w:after="0"/>
      <w:rPr/>
    </w:pPr>
    <w:r>
      <w:rPr/>
      <w:drawing>
        <wp:anchor behindDoc="1" distT="0" distB="0" distL="114300" distR="114300" simplePos="0" locked="0" layoutInCell="0" allowOverlap="1" relativeHeight="13">
          <wp:simplePos x="0" y="0"/>
          <wp:positionH relativeFrom="margin">
            <wp:align>center</wp:align>
          </wp:positionH>
          <wp:positionV relativeFrom="paragraph">
            <wp:posOffset>-133985</wp:posOffset>
          </wp:positionV>
          <wp:extent cx="1457325" cy="609600"/>
          <wp:effectExtent l="0" t="0" r="0" b="0"/>
          <wp:wrapSquare wrapText="bothSides"/>
          <wp:docPr id="1"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28607639"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0" w:after="0"/>
      <w:rPr/>
    </w:pPr>
    <w:r>
      <w:rPr/>
      <w:drawing>
        <wp:anchor behindDoc="1" distT="0" distB="0" distL="114300" distR="114300" simplePos="0" locked="0" layoutInCell="0" allowOverlap="1" relativeHeight="3">
          <wp:simplePos x="0" y="0"/>
          <wp:positionH relativeFrom="margin">
            <wp:align>center</wp:align>
          </wp:positionH>
          <wp:positionV relativeFrom="paragraph">
            <wp:posOffset>-133350</wp:posOffset>
          </wp:positionV>
          <wp:extent cx="1457325" cy="609600"/>
          <wp:effectExtent l="0" t="0" r="0" b="0"/>
          <wp:wrapSquare wrapText="bothSides"/>
          <wp:docPr id="2" name="Image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black background with white text&#10;&#10;Description automatically generated"/>
                  <pic:cNvPicPr>
                    <a:picLocks noChangeAspect="1" noChangeArrowheads="1"/>
                  </pic:cNvPicPr>
                </pic:nvPicPr>
                <pic:blipFill>
                  <a:blip r:embed="rId1"/>
                  <a:stretch>
                    <a:fillRect/>
                  </a:stretch>
                </pic:blipFill>
                <pic:spPr bwMode="auto">
                  <a:xfrm>
                    <a:off x="0" y="0"/>
                    <a:ext cx="1457325" cy="609600"/>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360" w:hanging="360"/>
      </w:pPr>
      <w:rPr/>
    </w:lvl>
    <w:lvl w:ilvl="1">
      <w:start w:val="1"/>
      <w:numFmt w:val="decimal"/>
      <w:suff w:val="space"/>
      <w:lvlText w:val="%1.%2."/>
      <w:lvlJc w:val="left"/>
      <w:pPr>
        <w:tabs>
          <w:tab w:val="num" w:pos="0"/>
        </w:tabs>
        <w:ind w:left="851" w:hanging="567"/>
      </w:pPr>
      <w:rPr>
        <w:b/>
        <w:bCs/>
      </w:rPr>
    </w:lvl>
    <w:lvl w:ilvl="2">
      <w:start w:val="1"/>
      <w:numFmt w:val="decimal"/>
      <w:suff w:val="space"/>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5"/>
  <w:defaultTabStop w:val="1296"/>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ahoma"/>
        <w:sz w:val="22"/>
        <w:szCs w:val="22"/>
        <w:lang w:val="lt-LT"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Paprtekstas"/>
    <w:next w:val="Normal"/>
    <w:link w:val="Heading1Char"/>
    <w:qFormat/>
    <w:pPr>
      <w:keepNext w:val="true"/>
      <w:keepLines/>
      <w:numPr>
        <w:ilvl w:val="0"/>
        <w:numId w:val="0"/>
      </w:numPr>
      <w:spacing w:before="240" w:after="120"/>
      <w:ind w:firstLine="851"/>
      <w:contextualSpacing/>
      <w:jc w:val="center"/>
      <w:outlineLvl w:val="0"/>
    </w:pPr>
    <w:rPr>
      <w:rFonts w:eastAsia="Times New Roman" w:cs="Tahoma"/>
      <w:szCs w:val="32"/>
    </w:rPr>
  </w:style>
  <w:style w:type="paragraph" w:styleId="Heading2">
    <w:name w:val="heading 2"/>
    <w:basedOn w:val="Normal"/>
    <w:next w:val="Normal"/>
    <w:link w:val="Heading2Char"/>
    <w:qFormat/>
    <w:pPr>
      <w:keepNext w:val="true"/>
      <w:keepLines/>
      <w:numPr>
        <w:ilvl w:val="0"/>
        <w:numId w:val="0"/>
      </w:numPr>
      <w:spacing w:before="40" w:after="0"/>
      <w:outlineLvl w:val="1"/>
    </w:pPr>
    <w:rPr>
      <w:rFonts w:ascii="Cambria" w:hAnsi="Cambria" w:eastAsia="Times New Roman" w:cs="Tahoma"/>
      <w:color w:themeColor="accent1" w:themeShade="bf" w:val="365F91"/>
      <w:sz w:val="26"/>
      <w:szCs w:val="26"/>
    </w:rPr>
  </w:style>
  <w:style w:type="paragraph" w:styleId="Heading3">
    <w:name w:val="heading 3"/>
    <w:basedOn w:val="Normal"/>
    <w:next w:val="Normal"/>
    <w:link w:val="Heading3Char"/>
    <w:qFormat/>
    <w:pPr>
      <w:keepNext w:val="true"/>
      <w:keepLines/>
      <w:numPr>
        <w:ilvl w:val="0"/>
        <w:numId w:val="0"/>
      </w:numPr>
      <w:spacing w:lineRule="auto" w:line="240" w:before="40" w:after="0"/>
      <w:outlineLvl w:val="2"/>
    </w:pPr>
    <w:rPr>
      <w:rFonts w:ascii="Cambria" w:hAnsi="Cambria" w:eastAsia="Times New Roman" w:cs="Tahoma"/>
      <w:color w:themeColor="accent1" w:themeShade="7f" w:val="243F60"/>
    </w:rPr>
  </w:style>
  <w:style w:type="paragraph" w:styleId="Heading4">
    <w:name w:val="heading 4"/>
    <w:basedOn w:val="Normal"/>
    <w:next w:val="Normal"/>
    <w:link w:val="Heading4Char"/>
    <w:qFormat/>
    <w:pPr>
      <w:keepNext w:val="true"/>
      <w:numPr>
        <w:ilvl w:val="0"/>
        <w:numId w:val="0"/>
      </w:numPr>
      <w:spacing w:before="20" w:after="20"/>
      <w:outlineLvl w:val="3"/>
    </w:pPr>
    <w:rPr>
      <w:rFonts w:ascii="Arial" w:hAnsi="Arial" w:cs="Arial"/>
      <w:b/>
      <w:bCs/>
      <w:sz w:val="20"/>
      <w:szCs w:val="20"/>
    </w:rPr>
  </w:style>
  <w:style w:type="character" w:styleId="DefaultParagraphFont">
    <w:name w:val="Default Paragraph Font"/>
    <w:qFormat/>
    <w:rPr/>
  </w:style>
  <w:style w:type="character" w:styleId="HeaderChar">
    <w:name w:val="Header Char"/>
    <w:basedOn w:val="DefaultParagraphFont"/>
    <w:qFormat/>
    <w:rPr>
      <w:rFonts w:ascii="Times New Roman" w:hAnsi="Times New Roman" w:cs="Times New Roman"/>
      <w:sz w:val="24"/>
      <w:szCs w:val="24"/>
      <w:lang w:val="x-none" w:eastAsia="x-none"/>
    </w:rPr>
  </w:style>
  <w:style w:type="character" w:styleId="FooterChar">
    <w:name w:val="Footer Char"/>
    <w:basedOn w:val="DefaultParagraphFont"/>
    <w:qFormat/>
    <w:rPr>
      <w:rFonts w:ascii="Times New Roman" w:hAnsi="Times New Roman" w:cs="Times New Roman"/>
      <w:sz w:val="24"/>
      <w:szCs w:val="24"/>
    </w:rPr>
  </w:style>
  <w:style w:type="character" w:styleId="BalloonTextChar">
    <w:name w:val="Balloon Text Char"/>
    <w:basedOn w:val="DefaultParagraphFont"/>
    <w:link w:val="BalloonText"/>
    <w:qFormat/>
    <w:rPr>
      <w:rFonts w:ascii="Tahoma" w:hAnsi="Tahoma" w:cs="Tahoma"/>
      <w:sz w:val="16"/>
      <w:szCs w:val="16"/>
    </w:rPr>
  </w:style>
  <w:style w:type="character" w:styleId="Heading4Char">
    <w:name w:val="Heading 4 Char"/>
    <w:basedOn w:val="DefaultParagraphFont"/>
    <w:qFormat/>
    <w:rPr>
      <w:rFonts w:ascii="Arial" w:hAnsi="Arial" w:cs="Arial"/>
      <w:b/>
      <w:bCs/>
      <w:sz w:val="20"/>
      <w:szCs w:val="20"/>
    </w:rPr>
  </w:style>
  <w:style w:type="character" w:styleId="Heading1Char">
    <w:name w:val="Heading 1 Char"/>
    <w:basedOn w:val="DefaultParagraphFont"/>
    <w:qFormat/>
    <w:rPr>
      <w:rFonts w:ascii="Arial" w:hAnsi="Arial" w:eastAsia="Times New Roman" w:cs="Tahoma"/>
      <w:sz w:val="20"/>
      <w:szCs w:val="32"/>
    </w:rPr>
  </w:style>
  <w:style w:type="character" w:styleId="PlaceholderText">
    <w:name w:val="Placeholder Text"/>
    <w:basedOn w:val="DefaultParagraphFont"/>
    <w:qFormat/>
    <w:rPr>
      <w:color w:val="808080"/>
    </w:rPr>
  </w:style>
  <w:style w:type="character" w:styleId="Hyperlink">
    <w:name w:val="Hyperlink"/>
    <w:basedOn w:val="DefaultParagraphFont"/>
    <w:rPr>
      <w:color w:themeColor="hyperlink" w:val="0000FF"/>
      <w:u w:val="single"/>
    </w:rPr>
  </w:style>
  <w:style w:type="character" w:styleId="UnresolvedMention">
    <w:name w:val="Unresolved Mention"/>
    <w:basedOn w:val="DefaultParagraphFont"/>
    <w:qFormat/>
    <w:rPr>
      <w:color w:val="605E5C"/>
      <w:shd w:fill="E1DFDD" w:val="clear"/>
    </w:rPr>
  </w:style>
  <w:style w:type="character" w:styleId="Heading2Char">
    <w:name w:val="Heading 2 Char"/>
    <w:basedOn w:val="DefaultParagraphFont"/>
    <w:qFormat/>
    <w:rPr>
      <w:rFonts w:ascii="Cambria" w:hAnsi="Cambria" w:eastAsia="Times New Roman" w:cs="Tahoma"/>
      <w:color w:themeColor="accent1" w:themeShade="bf" w:val="365F91"/>
      <w:sz w:val="26"/>
      <w:szCs w:val="26"/>
    </w:rPr>
  </w:style>
  <w:style w:type="character" w:styleId="Heading3Char">
    <w:name w:val="Heading 3 Char"/>
    <w:basedOn w:val="DefaultParagraphFont"/>
    <w:qFormat/>
    <w:rPr>
      <w:rFonts w:ascii="Cambria" w:hAnsi="Cambria" w:eastAsia="Times New Roman" w:cs="Tahoma"/>
      <w:color w:themeColor="accent1" w:themeShade="7f" w:val="243F60"/>
      <w:sz w:val="24"/>
      <w:szCs w:val="24"/>
    </w:rPr>
  </w:style>
  <w:style w:type="character" w:styleId="ListParagraphChar">
    <w:name w:val="List Paragraph Char"/>
    <w:link w:val="ListParagraph"/>
    <w:qFormat/>
    <w:rPr>
      <w:rFonts w:ascii="Times New Roman" w:hAnsi="Times New Roman" w:cs="Times New Roman"/>
      <w:sz w:val="24"/>
      <w:szCs w:val="24"/>
    </w:rPr>
  </w:style>
  <w:style w:type="character" w:styleId="1LVLChar">
    <w:name w:val="1 LVL Char"/>
    <w:basedOn w:val="Heading1Char"/>
    <w:link w:val="1LVL"/>
    <w:qFormat/>
    <w:rPr>
      <w:rFonts w:ascii="Arial" w:hAnsi="Arial" w:eastAsia="Times New Roman" w:cs="Times New Roman"/>
      <w:b/>
      <w:caps/>
      <w:sz w:val="20"/>
      <w:szCs w:val="24"/>
    </w:rPr>
  </w:style>
  <w:style w:type="character" w:styleId="fontstyle01">
    <w:name w:val="fontstyle01"/>
    <w:basedOn w:val="DefaultParagraphFont"/>
    <w:qFormat/>
    <w:rPr>
      <w:rFonts w:ascii="ArialMT" w:hAnsi="ArialMT"/>
      <w:b w:val="false"/>
      <w:bCs w:val="false"/>
      <w:i w:val="false"/>
      <w:iCs w:val="false"/>
      <w:color w:val="000000"/>
      <w:sz w:val="18"/>
      <w:szCs w:val="18"/>
    </w:rPr>
  </w:style>
  <w:style w:type="character" w:styleId="Numeravimosimboliai">
    <w:name w:val="Numeravimo simboliai"/>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Antratuser">
    <w:name w:val="Antraštė (user)"/>
    <w:basedOn w:val="Normal"/>
    <w:next w:val="BodyText"/>
    <w:qFormat/>
    <w:pPr>
      <w:keepNext w:val="true"/>
      <w:spacing w:before="240" w:after="120"/>
    </w:pPr>
    <w:rPr>
      <w:rFonts w:ascii="Liberation Sans" w:hAnsi="Liberation Sans" w:eastAsia="Microsoft YaHei" w:cs="Lucida Sans"/>
      <w:sz w:val="28"/>
      <w:szCs w:val="28"/>
    </w:rPr>
  </w:style>
  <w:style w:type="paragraph" w:styleId="Rodykluser">
    <w:name w:val="Rodyklė (user)"/>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OC1">
    <w:name w:val="toc 1"/>
    <w:basedOn w:val="Paprtekstas"/>
    <w:next w:val="Paprtekstas"/>
    <w:autoRedefine/>
    <w:pPr>
      <w:tabs>
        <w:tab w:val="clear" w:pos="1296"/>
        <w:tab w:val="left" w:pos="0" w:leader="none"/>
        <w:tab w:val="left" w:pos="400" w:leader="none"/>
        <w:tab w:val="right" w:pos="10205" w:leader="dot"/>
      </w:tabs>
      <w:spacing w:lineRule="auto" w:line="240" w:before="0" w:after="0"/>
      <w:ind w:hanging="0"/>
    </w:pPr>
    <w:rPr>
      <w:szCs w:val="20"/>
    </w:rPr>
  </w:style>
  <w:style w:type="paragraph" w:styleId="Paprtekstas">
    <w:name w:val="Papr. tekstas"/>
    <w:basedOn w:val="Normal"/>
    <w:qFormat/>
    <w:pPr>
      <w:spacing w:before="0" w:after="120"/>
      <w:ind w:firstLine="851"/>
      <w:jc w:val="both"/>
    </w:pPr>
    <w:rPr>
      <w:rFonts w:ascii="Arial" w:hAnsi="Arial"/>
      <w:sz w:val="20"/>
    </w:rPr>
  </w:style>
  <w:style w:type="paragraph" w:styleId="2LVL">
    <w:name w:val="2 LVL"/>
    <w:basedOn w:val="Normal"/>
    <w:qFormat/>
    <w:pPr>
      <w:numPr>
        <w:ilvl w:val="1"/>
        <w:numId w:val="1"/>
      </w:numPr>
      <w:spacing w:before="120" w:after="120"/>
    </w:pPr>
    <w:rPr>
      <w:rFonts w:ascii="Arial" w:hAnsi="Arial"/>
      <w:b/>
      <w:sz w:val="20"/>
    </w:rPr>
  </w:style>
  <w:style w:type="paragraph" w:styleId="Puslapinantratirporat">
    <w:name w:val="Puslapinė antraštė ir poraštė"/>
    <w:basedOn w:val="Normal"/>
    <w:qFormat/>
    <w:pPr/>
    <w:rPr/>
  </w:style>
  <w:style w:type="paragraph" w:styleId="HeaderandFooter">
    <w:name w:val="Header and Footer"/>
    <w:basedOn w:val="Normal"/>
    <w:qFormat/>
    <w:pPr/>
    <w:rPr/>
  </w:style>
  <w:style w:type="paragraph" w:styleId="Header">
    <w:name w:val="header"/>
    <w:basedOn w:val="Normal"/>
    <w:link w:val="HeaderChar"/>
    <w:pPr>
      <w:tabs>
        <w:tab w:val="clear" w:pos="1296"/>
        <w:tab w:val="center" w:pos="4153" w:leader="none"/>
        <w:tab w:val="right" w:pos="8306" w:leader="none"/>
      </w:tabs>
    </w:pPr>
    <w:rPr>
      <w:lang w:val="x-none" w:eastAsia="x-none"/>
    </w:rPr>
  </w:style>
  <w:style w:type="paragraph" w:styleId="Footer">
    <w:name w:val="footer"/>
    <w:basedOn w:val="Normal"/>
    <w:link w:val="FooterChar"/>
    <w:pPr>
      <w:tabs>
        <w:tab w:val="clear" w:pos="1296"/>
        <w:tab w:val="center" w:pos="4819" w:leader="none"/>
        <w:tab w:val="right" w:pos="9638" w:leader="none"/>
      </w:tabs>
    </w:pPr>
    <w:rPr/>
  </w:style>
  <w:style w:type="paragraph" w:styleId="1LVL">
    <w:name w:val="1 LVL"/>
    <w:basedOn w:val="Normal"/>
    <w:link w:val="1LVLChar"/>
    <w:qFormat/>
    <w:pPr>
      <w:numPr>
        <w:ilvl w:val="0"/>
        <w:numId w:val="1"/>
      </w:numPr>
      <w:spacing w:before="120" w:after="120"/>
    </w:pPr>
    <w:rPr>
      <w:rFonts w:ascii="Arial" w:hAnsi="Arial"/>
      <w:b/>
      <w:caps/>
      <w:sz w:val="20"/>
    </w:rPr>
  </w:style>
  <w:style w:type="paragraph" w:styleId="Tvarkingas">
    <w:name w:val="Tvarkingas"/>
    <w:basedOn w:val="Normal"/>
    <w:qFormat/>
    <w:pPr>
      <w:spacing w:lineRule="auto" w:line="360"/>
      <w:ind w:firstLine="720"/>
      <w:jc w:val="both"/>
    </w:pPr>
    <w:rPr>
      <w:szCs w:val="20"/>
    </w:rPr>
  </w:style>
  <w:style w:type="paragraph" w:styleId="BalloonText">
    <w:name w:val="Balloon Text"/>
    <w:basedOn w:val="Normal"/>
    <w:link w:val="BalloonTextChar"/>
    <w:qFormat/>
    <w:pPr/>
    <w:rPr>
      <w:rFonts w:ascii="Tahoma" w:hAnsi="Tahoma" w:cs="Tahoma"/>
      <w:sz w:val="16"/>
      <w:szCs w:val="16"/>
    </w:rPr>
  </w:style>
  <w:style w:type="paragraph" w:styleId="Paprtekstas1">
    <w:name w:val="Papr.tekstas"/>
    <w:basedOn w:val="Normal"/>
    <w:qFormat/>
    <w:pPr>
      <w:ind w:firstLine="709"/>
      <w:jc w:val="both"/>
    </w:pPr>
    <w:rPr>
      <w:rFonts w:ascii="Arial" w:hAnsi="Arial"/>
      <w:sz w:val="20"/>
    </w:rPr>
  </w:style>
  <w:style w:type="paragraph" w:styleId="ListParagraph">
    <w:name w:val="List Paragraph"/>
    <w:basedOn w:val="Normal"/>
    <w:link w:val="ListParagraphChar"/>
    <w:qFormat/>
    <w:pPr>
      <w:spacing w:before="0" w:after="200"/>
      <w:ind w:hanging="0" w:left="720"/>
      <w:contextualSpacing/>
    </w:pPr>
    <w:rPr/>
  </w:style>
  <w:style w:type="paragraph" w:styleId="Default">
    <w:name w:val="Default"/>
    <w:qFormat/>
    <w:pPr>
      <w:widowControl/>
      <w:suppressAutoHyphens w:val="true"/>
      <w:overflowPunct w:val="false"/>
      <w:bidi w:val="0"/>
      <w:spacing w:lineRule="auto" w:line="240" w:before="0" w:after="0"/>
      <w:jc w:val="left"/>
    </w:pPr>
    <w:rPr>
      <w:rFonts w:ascii="Arial" w:hAnsi="Arial" w:eastAsia="Times New Roman" w:cs="Arial"/>
      <w:color w:val="000000"/>
      <w:kern w:val="0"/>
      <w:sz w:val="24"/>
      <w:szCs w:val="24"/>
      <w:lang w:val="en-US" w:eastAsia="en-US" w:bidi="ar-SA"/>
    </w:rPr>
  </w:style>
  <w:style w:type="paragraph" w:styleId="NoSpacing">
    <w:name w:val="No Spacing"/>
    <w:qFormat/>
    <w:pPr>
      <w:widowControl/>
      <w:suppressAutoHyphens w:val="true"/>
      <w:overflowPunct w:val="false"/>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indexheading1">
    <w:name w:val="index heading1"/>
    <w:basedOn w:val="Antrat"/>
    <w:qFormat/>
    <w:pPr/>
    <w:rPr/>
  </w:style>
  <w:style w:type="paragraph" w:styleId="IndexHeading">
    <w:name w:val="index heading"/>
    <w:basedOn w:val="Antrat"/>
    <w:qFormat/>
    <w:pPr/>
    <w:rPr/>
  </w:style>
  <w:style w:type="paragraph" w:styleId="TOCHeading">
    <w:name w:val="TOC Heading"/>
    <w:basedOn w:val="Heading1"/>
    <w:next w:val="Normal"/>
    <w:qFormat/>
    <w:pPr>
      <w:spacing w:before="240" w:after="0"/>
      <w:ind w:hanging="0"/>
      <w:contextualSpacing w:val="false"/>
      <w:jc w:val="left"/>
      <w:outlineLvl w:val="9"/>
    </w:pPr>
    <w:rPr>
      <w:rFonts w:ascii="Cambria" w:hAnsi="Cambria"/>
      <w:color w:themeColor="accent1" w:themeShade="bf" w:val="365F91"/>
      <w:sz w:val="32"/>
    </w:rPr>
  </w:style>
  <w:style w:type="paragraph" w:styleId="3LVL">
    <w:name w:val="3 LVL"/>
    <w:basedOn w:val="Normal"/>
    <w:qFormat/>
    <w:pPr>
      <w:keepNext w:val="true"/>
      <w:numPr>
        <w:ilvl w:val="2"/>
        <w:numId w:val="1"/>
      </w:numPr>
      <w:spacing w:before="120" w:after="120"/>
    </w:pPr>
    <w:rPr>
      <w:rFonts w:ascii="Arial" w:hAnsi="Arial"/>
      <w:b/>
      <w:sz w:val="20"/>
    </w:rPr>
  </w:style>
  <w:style w:type="paragraph" w:styleId="TOC2">
    <w:name w:val="toc 2"/>
    <w:basedOn w:val="Paprtekstas"/>
    <w:next w:val="Paprtekstas"/>
    <w:autoRedefine/>
    <w:pPr>
      <w:tabs>
        <w:tab w:val="clear" w:pos="1296"/>
        <w:tab w:val="right" w:pos="10195" w:leader="dot"/>
      </w:tabs>
      <w:spacing w:lineRule="auto" w:line="240" w:before="0" w:after="0"/>
      <w:ind w:hanging="0"/>
    </w:pPr>
    <w:rPr/>
  </w:style>
  <w:style w:type="paragraph" w:styleId="TOC3">
    <w:name w:val="toc 3"/>
    <w:basedOn w:val="Paprtekstas"/>
    <w:next w:val="Paprtekstas"/>
    <w:autoRedefine/>
    <w:pPr>
      <w:tabs>
        <w:tab w:val="clear" w:pos="1296"/>
        <w:tab w:val="right" w:pos="10195" w:leader="dot"/>
      </w:tabs>
      <w:spacing w:before="0" w:after="100"/>
      <w:ind w:hanging="0"/>
    </w:pPr>
    <w:rPr/>
  </w:style>
  <w:style w:type="paragraph" w:styleId="caption11">
    <w:name w:val="caption11"/>
    <w:basedOn w:val="Paprtekstas"/>
    <w:next w:val="Paprtekstas"/>
    <w:qFormat/>
    <w:pPr>
      <w:spacing w:lineRule="auto" w:line="240"/>
      <w:ind w:hanging="0"/>
    </w:pPr>
    <w:rPr>
      <w:b/>
      <w:iCs/>
      <w:szCs w:val="18"/>
    </w:rPr>
  </w:style>
  <w:style w:type="paragraph" w:styleId="TOC4">
    <w:name w:val="toc 4"/>
    <w:basedOn w:val="Normal"/>
    <w:next w:val="Normal"/>
    <w:autoRedefine/>
    <w:pPr>
      <w:spacing w:lineRule="auto" w:line="276" w:before="0" w:after="100"/>
      <w:ind w:hanging="0" w:left="720"/>
    </w:pPr>
    <w:rPr>
      <w:rFonts w:ascii="Calibri" w:hAnsi="Calibri" w:eastAsia="Times New Roman" w:cs="Tahoma"/>
      <w:kern w:val="2"/>
      <w:lang w:val="en-US" w:eastAsia="zh-CN"/>
    </w:rPr>
  </w:style>
  <w:style w:type="paragraph" w:styleId="TOC5">
    <w:name w:val="toc 5"/>
    <w:basedOn w:val="Normal"/>
    <w:next w:val="Normal"/>
    <w:autoRedefine/>
    <w:pPr>
      <w:spacing w:lineRule="auto" w:line="276" w:before="0" w:after="100"/>
      <w:ind w:hanging="0" w:left="960"/>
    </w:pPr>
    <w:rPr>
      <w:rFonts w:ascii="Calibri" w:hAnsi="Calibri" w:eastAsia="Times New Roman" w:cs="Tahoma"/>
      <w:kern w:val="2"/>
      <w:lang w:val="en-US" w:eastAsia="zh-CN"/>
    </w:rPr>
  </w:style>
  <w:style w:type="paragraph" w:styleId="TOC6">
    <w:name w:val="toc 6"/>
    <w:basedOn w:val="Normal"/>
    <w:next w:val="Normal"/>
    <w:autoRedefine/>
    <w:pPr>
      <w:spacing w:lineRule="auto" w:line="276" w:before="0" w:after="100"/>
      <w:ind w:hanging="0" w:left="1200"/>
    </w:pPr>
    <w:rPr>
      <w:rFonts w:ascii="Calibri" w:hAnsi="Calibri" w:eastAsia="Times New Roman" w:cs="Tahoma"/>
      <w:kern w:val="2"/>
      <w:lang w:val="en-US" w:eastAsia="zh-CN"/>
    </w:rPr>
  </w:style>
  <w:style w:type="paragraph" w:styleId="TOC7">
    <w:name w:val="toc 7"/>
    <w:basedOn w:val="Normal"/>
    <w:next w:val="Normal"/>
    <w:autoRedefine/>
    <w:pPr>
      <w:spacing w:lineRule="auto" w:line="276" w:before="0" w:after="100"/>
      <w:ind w:hanging="0" w:left="1440"/>
    </w:pPr>
    <w:rPr>
      <w:rFonts w:ascii="Calibri" w:hAnsi="Calibri" w:eastAsia="Times New Roman" w:cs="Tahoma"/>
      <w:kern w:val="2"/>
      <w:lang w:val="en-US" w:eastAsia="zh-CN"/>
    </w:rPr>
  </w:style>
  <w:style w:type="paragraph" w:styleId="TOC8">
    <w:name w:val="toc 8"/>
    <w:basedOn w:val="Normal"/>
    <w:next w:val="Normal"/>
    <w:autoRedefine/>
    <w:pPr>
      <w:spacing w:lineRule="auto" w:line="276" w:before="0" w:after="100"/>
      <w:ind w:hanging="0" w:left="1680"/>
    </w:pPr>
    <w:rPr>
      <w:rFonts w:ascii="Calibri" w:hAnsi="Calibri" w:eastAsia="Times New Roman" w:cs="Tahoma"/>
      <w:kern w:val="2"/>
      <w:lang w:val="en-US" w:eastAsia="zh-CN"/>
    </w:rPr>
  </w:style>
  <w:style w:type="paragraph" w:styleId="TOC9">
    <w:name w:val="toc 9"/>
    <w:basedOn w:val="Normal"/>
    <w:next w:val="Normal"/>
    <w:autoRedefine/>
    <w:pPr>
      <w:spacing w:lineRule="auto" w:line="276" w:before="0" w:after="100"/>
      <w:ind w:hanging="0" w:left="1920"/>
    </w:pPr>
    <w:rPr>
      <w:rFonts w:ascii="Calibri" w:hAnsi="Calibri" w:eastAsia="Times New Roman" w:cs="Tahoma"/>
      <w:kern w:val="2"/>
      <w:lang w:val="en-US" w:eastAsia="zh-CN"/>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paragraph" w:styleId="Lentelsturinysuser">
    <w:name w:val="Lentelės turinys (user)"/>
    <w:basedOn w:val="Normal"/>
    <w:qFormat/>
    <w:pPr>
      <w:widowControl w:val="false"/>
      <w:suppressLineNumbers/>
    </w:pPr>
    <w:rPr/>
  </w:style>
  <w:style w:type="paragraph" w:styleId="Lentelsantratuser">
    <w:name w:val="Lentelės antraštė (user)"/>
    <w:basedOn w:val="Lentelsturinysuser"/>
    <w:qFormat/>
    <w:pPr>
      <w:suppressLineNumbers/>
      <w:jc w:val="center"/>
    </w:pPr>
    <w:rPr>
      <w:b/>
      <w:bCs/>
    </w:rPr>
  </w:style>
  <w:style w:type="numbering" w:styleId="NoList">
    <w:name w:val="No List"/>
    <w:qFormat/>
  </w:style>
  <w:style w:type="numbering" w:styleId="Bullet">
    <w:name w:val="Bullet •"/>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darom.lt/" TargetMode="External"/><Relationship Id="rId3" Type="http://schemas.openxmlformats.org/officeDocument/2006/relationships/hyperlink" Target="https://www.laukodangos.lt/" TargetMode="External"/><Relationship Id="rId4" Type="http://schemas.openxmlformats.org/officeDocument/2006/relationships/hyperlink" Target="https://www.dekobetonas.lt/"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foot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4516</TotalTime>
  <Application>LibreOffice/25.8.2.2$Windows_X86_64 LibreOffice_project/d401f2107ccab8f924a8e2df40f573aab7605b6f</Application>
  <AppVersion>15.0000</AppVersion>
  <Pages>11</Pages>
  <Words>3637</Words>
  <Characters>20876</Characters>
  <CharactersWithSpaces>23228</CharactersWithSpaces>
  <Paragraphs>1310</Paragraphs>
  <Company>SRP Projektas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2024-05-23T10:27:00Z</dcterms:created>
  <dc:creator>Doman</dc:creator>
  <dc:description/>
  <dc:language>lt-LT</dc:language>
  <cp:lastModifiedBy/>
  <cp:lastPrinted>2025-11-18T17:49:01Z</cp:lastPrinted>
  <dcterms:modified xsi:type="dcterms:W3CDTF">2025-11-19T13:58:58Z</dcterms:modified>
  <cp:revision>168</cp:revision>
  <dc:subject/>
  <dc:title>Bendrasis aiškinamasis raštas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vt:lpwstr>2023-12</vt:lpwstr>
  </property>
  <property fmtid="{D5CDD505-2E9C-101B-9397-08002B2CF9AE}" pid="3" name="Dokumento pavadinimas">
    <vt:lpwstr>Bendrasis aiškinamasis raštas</vt:lpwstr>
  </property>
  <property fmtid="{D5CDD505-2E9C-101B-9397-08002B2CF9AE}" pid="4" name="Dokumento žymuo">
    <vt:lpwstr>EA_001-R2-PAL-SRP-DBA-AB-BC-0006-TDP-BD_01_01-AR</vt:lpwstr>
  </property>
  <property fmtid="{D5CDD505-2E9C-101B-9397-08002B2CF9AE}" pid="5" name="Kval. atest. Nr. (PDV)">
    <vt:lpwstr>33272</vt:lpwstr>
  </property>
  <property fmtid="{D5CDD505-2E9C-101B-9397-08002B2CF9AE}" pid="6" name="Kval. atestato Nr.">
    <vt:lpwstr>36328</vt:lpwstr>
  </property>
  <property fmtid="{D5CDD505-2E9C-101B-9397-08002B2CF9AE}" pid="7" name="Laida">
    <vt:lpwstr>0</vt:lpwstr>
  </property>
  <property fmtid="{D5CDD505-2E9C-101B-9397-08002B2CF9AE}" pid="8" name="Pareigos (PV)">
    <vt:lpwstr>PV</vt:lpwstr>
  </property>
  <property fmtid="{D5CDD505-2E9C-101B-9397-08002B2CF9AE}" pid="9" name="Statinio projekto pavadinimas">
    <vt:lpwstr>Karinės / Civilinės aikštelės įrengimas Palemone</vt:lpwstr>
  </property>
  <property fmtid="{D5CDD505-2E9C-101B-9397-08002B2CF9AE}" pid="10" name="Statytojas ir (ar) užsakovas">
    <vt:lpwstr>AB „LTG Infra“</vt:lpwstr>
  </property>
  <property fmtid="{D5CDD505-2E9C-101B-9397-08002B2CF9AE}" pid="11" name="Vardas/Pavardė (PV)">
    <vt:lpwstr>Tadas Kasperavičius</vt:lpwstr>
  </property>
</Properties>
</file>